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ДОГОВОР №__</w:t>
      </w:r>
    </w:p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купли-продажи недвижимого имущества</w:t>
      </w:r>
    </w:p>
    <w:p>
      <w:pPr>
        <w:pStyle w:val="Normal"/>
        <w:jc w:val="center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г. Кострома</w:t>
        <w:tab/>
        <w:tab/>
        <w:tab/>
        <w:tab/>
        <w:tab/>
        <w:tab/>
        <w:tab/>
        <w:tab/>
        <w:t xml:space="preserve">       «___» _______ 202__ г.</w:t>
      </w:r>
    </w:p>
    <w:p>
      <w:pPr>
        <w:pStyle w:val="Normal"/>
        <w:jc w:val="both"/>
        <w:rPr>
          <w:b/>
          <w:b/>
          <w:bCs/>
          <w:sz w:val="24"/>
          <w:szCs w:val="24"/>
        </w:rPr>
      </w:pPr>
      <w:r>
        <w:rPr>
          <w:b/>
          <w:bCs/>
          <w:sz w:val="24"/>
          <w:szCs w:val="24"/>
        </w:rPr>
      </w:r>
    </w:p>
    <w:p>
      <w:pPr>
        <w:pStyle w:val="Normal"/>
        <w:ind w:firstLine="709"/>
        <w:jc w:val="both"/>
        <w:rPr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Общество с ограниченной ответственностью инвестиционное строительно-проектное объединение «Костромагорстрой» </w:t>
      </w:r>
      <w:r>
        <w:rPr>
          <w:bCs/>
          <w:sz w:val="24"/>
          <w:szCs w:val="24"/>
        </w:rPr>
        <w:t>(сокращенное наименование – ООО ИСПО «Костромагорстрой»), в лице конкурсного управляющего</w:t>
      </w:r>
      <w:r>
        <w:rPr/>
        <w:t xml:space="preserve"> </w:t>
      </w:r>
      <w:r>
        <w:rPr>
          <w:bCs/>
          <w:sz w:val="24"/>
          <w:szCs w:val="24"/>
        </w:rPr>
        <w:t>Белова Максима Валериевича (ИНН 502498703961, СНИЛС 057-190-386 70, реестровый номер арбитражного управляющего №17660), член Союза арбитражных управляющих «Саморегулируемая организация «Северная столица» (ОГРН 1027806876173, ИНН 7813175754, адрес: 194100, Россия, г. Санкт-Петербург, ул. Новолитовская, д. 15 литера А), действующего на основании решения Арбитражного суда Костромской области по делу №А31-15503/2018 от 11.12.2019 г. (резолютивная часть оглашена 09.12.2019 г.), именуемое в дальнейшем «Продавец», с одной стороны, и</w:t>
      </w:r>
    </w:p>
    <w:p>
      <w:pPr>
        <w:pStyle w:val="Normal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______________, в лице __________, действующего на основании _____, именуемое в дальнейшем «Покупатель», с другой стороны, совместно именуемые «Стороны», заключили настоящий Договор о нижеследующем.</w:t>
      </w:r>
    </w:p>
    <w:p>
      <w:pPr>
        <w:pStyle w:val="Normal"/>
        <w:ind w:firstLine="709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Предмет договора</w:t>
      </w:r>
    </w:p>
    <w:p>
      <w:pPr>
        <w:pStyle w:val="ListParagraph"/>
        <w:ind w:left="0" w:firstLine="709"/>
        <w:jc w:val="both"/>
        <w:rPr>
          <w:bCs/>
          <w:u w:val="single"/>
        </w:rPr>
      </w:pPr>
      <w:r>
        <w:rPr>
          <w:b w:val="false"/>
          <w:bCs w:val="false"/>
        </w:rPr>
        <w:t>1.1</w:t>
      </w:r>
      <w:r>
        <w:rPr>
          <w:b/>
          <w:bCs/>
        </w:rPr>
        <w:t xml:space="preserve">.  </w:t>
      </w:r>
      <w:r>
        <w:rPr>
          <w:b w:val="false"/>
          <w:bCs w:val="false"/>
        </w:rPr>
        <w:t xml:space="preserve">По результатам электронных торгов в форме аукциона (далее – «Торги»)            имуществом Продавца по лоту № 1 (Протокол № __ от «__» ____ 20__года), проводимых в порядке и на условиях, указанных в сообщении о проведении Торгов, опубликованном в газете «Коммерсантъ» от «___» _____ 20_ года № ____, Продавец обязуется передать в собственность Покупателю, а Покупатель принять и оплатить в соответствии с условиями настоящего Договора следующее имущество: </w:t>
      </w:r>
      <w:r>
        <w:rPr>
          <w:bCs/>
        </w:rPr>
        <w:t>Нежилое помещение общей площадью 84,2 кв.м, кадастровый номер: 44:27:040507:1260, расположенное на 1 этаже, по адресу:             Костромская обл., г. Кострома, ул. Галичская, д. 51, помещение 117 (далее – Имущество).</w:t>
      </w:r>
      <w:r>
        <w:rPr>
          <w:bCs/>
          <w:u w:val="single"/>
        </w:rPr>
        <w:t xml:space="preserve"> </w:t>
      </w:r>
      <w:r>
        <w:rPr>
          <w:bCs/>
          <w:u w:val="none"/>
        </w:rPr>
        <w:t>Имущество обременено залогом в пользу Кубасовой А.О.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Продавец гарантирует, что продаваемое по настоящему Договору имущество никому не продано, под арестом или запретом не состоит.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Покупатель ознакомлен с документами, подтверждающими право Продавца на продаваемое Имущество, а также с другими документами, необходимыми для оформления настоящего Договора и регистрации перехода прав собственности и претензий к ним не имеет.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До подписания настоящего Договора Имущество Покупателем осмотрено.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Цена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Цена имущества по настоящему Договору составляет ___ (____) руб. ___ коп. В соответствии с подпунктом 15 пункта 2 статьи 146 НК РФ НДС не облагаются операции по реализации имущества и (или) имущественных прав должников, признанных в соответствии с законодательством Российской Федерации несостоятельными (банкротами).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Задаток в сумме __ (__) руб. __ коп., внесенный Покупателем на счет Продавца, засчитывается в счет оплаты имущества.  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 учетом п. 2.2. настоящего договора Покупатель обязан уплатить сумму в размере ____ (__) руб. __ коп., представляющую собой сумму цены продажи имущества (за вычетом суммы задатка).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Покупатель – победитель торгов, обязуется произвести оплату в срок не позднее 30 (тридцати) дней с даты подписания Сторонами настоящего Договора путем безналичного перечисления денежных средств по реквизитам Продавца, указанным в настоящем Договоре.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Покупатель несет все расходы, связанные с государственной регистрацией перехода права собственности.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Обязательство Покупателя по оплате стоимости Имущества считается исполненным с момента поступления денежных средств в полном объеме на счет банка Продавца.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Передача имущества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Продавец обязан передать Покупателю Имущество по акту приема-передачи, подписанному Сторонами в срок не позднее 10 (десяти) рабочих дней после полной оплаты суммы, указанной в п. 2.1. настоящего Договора. 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 момента подписания акта приема-передачи имущества ответственность за сохранность, а также риск его случайной гибели, порчи или повреждения несет Покупатель.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Право собственности на Имущество переходит к Покупателю с момента государственной регистрации в уполномоченном органе, осуществляющем государственную регистрацию прав на недвижимое имущество и сделок с ним, в порядке, установленном действующем законодательством. 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По настоящему договору Покупателю передается Имущество в том виде, как оно есть. Все риски, связанные с приобретением имущества без предварительного осмотра несет покупатель.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Принятое Покупателем Имущество возврату и обмену не подлежит. Продавец не несет ответственности за качество проданного Имущества и недостатки, которые могут в дальнейшем обнаружиться Покупателем. Все риски и затраты, которые могут возникнуть в связи с использованием (ремонтом, восстановлением) имущества, Покупатель принимает на себя.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hanging="0"/>
        <w:jc w:val="center"/>
        <w:rPr>
          <w:b/>
          <w:b/>
          <w:bCs/>
        </w:rPr>
      </w:pPr>
      <w:r>
        <w:rPr>
          <w:b/>
          <w:bCs/>
        </w:rPr>
        <w:t>Права и обязанности сторон</w:t>
      </w:r>
    </w:p>
    <w:p>
      <w:pPr>
        <w:pStyle w:val="ListParagraph"/>
        <w:numPr>
          <w:ilvl w:val="1"/>
          <w:numId w:val="1"/>
        </w:numPr>
        <w:rPr>
          <w:bCs/>
        </w:rPr>
      </w:pPr>
      <w:r>
        <w:rPr>
          <w:bCs/>
        </w:rPr>
        <w:t xml:space="preserve"> </w:t>
      </w:r>
      <w:r>
        <w:rPr>
          <w:bCs/>
        </w:rPr>
        <w:t>Продавец обязуется: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Передать Покупателю по акту приема-передачи Имущество, являющееся предметом настоящего Договора.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Предоставить документы, необходимые для государственной регистрации перехода права собственности на Имущество.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Произвести необходимые действия для государственной регистрации перехода права собственности на Имущество от Продавца к Покупателю.</w:t>
      </w:r>
    </w:p>
    <w:p>
      <w:pPr>
        <w:pStyle w:val="ListParagraph"/>
        <w:numPr>
          <w:ilvl w:val="1"/>
          <w:numId w:val="1"/>
        </w:numPr>
        <w:rPr>
          <w:bCs/>
        </w:rPr>
      </w:pPr>
      <w:r>
        <w:rPr>
          <w:bCs/>
        </w:rPr>
        <w:t>Продавец в праве: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Расторгнуть настоящий Договор в одностороннем порядке в случае нарушения Покупателем положений п.п. 2.1., 2.4. настоящего Договора без предварительного направления уведомления.</w:t>
      </w:r>
    </w:p>
    <w:p>
      <w:pPr>
        <w:pStyle w:val="ListParagraph"/>
        <w:numPr>
          <w:ilvl w:val="1"/>
          <w:numId w:val="1"/>
        </w:numPr>
        <w:rPr>
          <w:bCs/>
        </w:rPr>
      </w:pPr>
      <w:r>
        <w:rPr>
          <w:bCs/>
        </w:rPr>
        <w:t xml:space="preserve"> </w:t>
      </w:r>
      <w:r>
        <w:rPr>
          <w:bCs/>
        </w:rPr>
        <w:t>Покупатель обязуется: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Оплатить стоимость приобретенного Имущества в полном объеме, в порядке и сроки, установленные настоящем Договором.</w:t>
      </w:r>
    </w:p>
    <w:p>
      <w:pPr>
        <w:pStyle w:val="ListParagraph"/>
        <w:numPr>
          <w:ilvl w:val="2"/>
          <w:numId w:val="1"/>
        </w:numPr>
        <w:ind w:left="0" w:firstLine="709"/>
        <w:rPr>
          <w:bCs/>
        </w:rPr>
      </w:pPr>
      <w:r>
        <w:rPr>
          <w:bCs/>
        </w:rPr>
        <w:t>Принять Имущество в день подписания акта приема-передачи.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Ответственность сторон обязательной непреодолимой силы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 </w:t>
      </w:r>
      <w:r>
        <w:rPr>
          <w:bCs/>
        </w:rPr>
        <w:t>За неисполнение или ненадлежащее исполнение обязательств по настоящему Договору Стороны несут ответственность в соответствии с действующим законодательством Российской Федерации и настоящим Договором.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Стороны освобождаются от ответственности за частичное или полное неисполнение обязательств по настоящему договору, если это неисполнение явилось следствием обстоятельств непреодолимой силы, возникших после заключения настоящего договора, в результате обстоятельств чрезвычайного характера, которые стороны не могли предвидеть или предотвратить.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При наступлении обстоятельств, указанных в п. 5.2, каждая сторона должна без промедления известить о них в письменном виде другую сторону. Извещение должно содержать данные о характере обстоятельств, а также официальные документы, удостоверяющие наличие этих обстоятельств и, по возможности, дающие оценку их влияния на возможность исполнения стороной своих обязательств по данному договору.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Если сторона не направит или несвоевременно направит извещение, предусмотренное в п. 5.3, то она обязана возместить второй стороне понесенные убытки.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 случае наступления обстоятельств, предусмотренных в п. 5.2, срок выполнения стороной обязательств по настоящему договору отодвигается соразмерно времени, в течение которого действуют эти обстоятельства и их последствия.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Разрешение споров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Все споры и разногласия, которые могут возникнуть между сторонами по вопросам, не нашедшим своего разрешения в тексте данного договора, а также связанные с заключением, исполнением, толкованием, изменением и расторжением настоящего Договора будут разрешаться путем переговоров.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При не урегулировании в процессе переговоров спорных вопросов споры разрешаются в порядке, установленном действующим законодательством Российской Федерации.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 случае неурегулирования споров путем переговоров заинтересованная Сторона направляет в письменной форме претензию, подписанную уполномоченным лицом.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К претензии должны прилагаться обосновывающие требования заинтересованной Стороны документы (в случае их отсутствия у другой Стороны) и документы, подтверждающие полномочия лица, которое подписало претензию. Если претензия направлена без документов, подтверждающих полномочия лица, которое ее подписало, то она считается непредъявленной и рассмотрению не подлежит.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Сторона, в адрес которой направлена претензия, обязана ее рассмотреть и о результатах уведомить в письменной форме другую Сторону в течение 5 (пяти) рабочих дней со дня получения претензии.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 случае если спор не урегулирован в претензионном порядке или ответ на претензию не получен в течение указанного срока, спор передается в Арбитражный суд Костромской области.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Изменение и прекращение действия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может быть изменен или прекращен по письменному соглашению сторон, а также в других случаях, предусмотренных законодательством Российской Федерации и настоящим договором.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Стороны договорились, что в случае, если Покупатель не оплатит в срок, установленный п. 2.4. настоящего Договора, стоимость Имущества, договор автоматически расторгается по истечении указанного срока окончания оплаты. При этом факт расторжения договора не требует дополнительного согласования, либо обращения в суд.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Срок действия договора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считается заключенным с момента его подписания.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действует до момента полного выполнения Сторонами взятых на себя обязательств.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Заключительные положения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 xml:space="preserve"> </w:t>
      </w:r>
      <w:r>
        <w:rPr>
          <w:bCs/>
        </w:rPr>
        <w:t>Во всем остальном, что не предусмотрено настоящим договором, стороны руководствуются действующим законодательством Российской Федерации.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Любые изменения и дополнения к настоящему договору действительны при условии, если они совершены в письменной форме и подписаны уполномоченными на то представителями сторон.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Все уведомления и сообщения Сторонам настоящего договора должны направляться в письменной форме. Сообщения будут считаться исполненными надлежащим образом, если они посланы заказным письмом, по телеграфу, или доставлены лично по юридическим (почтовым) адресам сторон с получением под расписку соответствующими должностными лицами.</w:t>
      </w:r>
    </w:p>
    <w:p>
      <w:pPr>
        <w:pStyle w:val="ListParagraph"/>
        <w:numPr>
          <w:ilvl w:val="1"/>
          <w:numId w:val="1"/>
        </w:numPr>
        <w:ind w:left="0" w:firstLine="709"/>
        <w:rPr>
          <w:bCs/>
        </w:rPr>
      </w:pPr>
      <w:r>
        <w:rPr>
          <w:bCs/>
        </w:rPr>
        <w:t>Настоящий договор составлен в трех экземплярах, имеющих одинаковую юридическую силу, по одному экземпляру для каждой из сторон и для регистрирующего органа.</w:t>
      </w:r>
    </w:p>
    <w:p>
      <w:pPr>
        <w:pStyle w:val="ListParagraph"/>
        <w:ind w:left="709" w:hanging="0"/>
        <w:rPr>
          <w:bCs/>
        </w:rPr>
      </w:pPr>
      <w:r>
        <w:rPr>
          <w:bCs/>
        </w:rPr>
      </w:r>
    </w:p>
    <w:p>
      <w:pPr>
        <w:pStyle w:val="ListParagraph"/>
        <w:numPr>
          <w:ilvl w:val="0"/>
          <w:numId w:val="1"/>
        </w:numPr>
        <w:ind w:left="0" w:firstLine="709"/>
        <w:jc w:val="center"/>
        <w:rPr>
          <w:b/>
          <w:b/>
          <w:bCs/>
        </w:rPr>
      </w:pPr>
      <w:r>
        <w:rPr>
          <w:b/>
          <w:bCs/>
        </w:rPr>
        <w:t>Адреса, банковский реквизиты и подписи сторон</w:t>
      </w:r>
    </w:p>
    <w:tbl>
      <w:tblPr>
        <w:tblStyle w:val="af2"/>
        <w:tblW w:w="9356" w:type="dxa"/>
        <w:jc w:val="left"/>
        <w:tblInd w:w="-5" w:type="dxa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4906"/>
        <w:gridCol w:w="4449"/>
      </w:tblGrid>
      <w:tr>
        <w:trPr/>
        <w:tc>
          <w:tcPr>
            <w:tcW w:w="4906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bookmarkStart w:id="0" w:name="_GoBack"/>
            <w:bookmarkEnd w:id="0"/>
            <w:r>
              <w:rPr>
                <w:b/>
                <w:bCs/>
                <w:sz w:val="24"/>
                <w:szCs w:val="24"/>
              </w:rPr>
              <w:t>Продавец</w:t>
            </w:r>
          </w:p>
        </w:tc>
        <w:tc>
          <w:tcPr>
            <w:tcW w:w="4449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Покупатель</w:t>
            </w:r>
          </w:p>
        </w:tc>
      </w:tr>
      <w:tr>
        <w:trPr/>
        <w:tc>
          <w:tcPr>
            <w:tcW w:w="4906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ООО ИСПО «Костромагорстрой»</w:t>
            </w:r>
          </w:p>
        </w:tc>
        <w:tc>
          <w:tcPr>
            <w:tcW w:w="4449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906" w:type="dxa"/>
            <w:tcBorders/>
            <w:shd w:fill="auto" w:val="clear"/>
          </w:tcPr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ИНН</w:t>
            </w:r>
            <w:r>
              <w:rPr/>
              <w:t xml:space="preserve"> </w:t>
            </w:r>
            <w:r>
              <w:rPr>
                <w:bCs/>
                <w:sz w:val="24"/>
                <w:szCs w:val="24"/>
              </w:rPr>
              <w:t>4443022963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ОГРН</w:t>
            </w:r>
            <w:r>
              <w:rPr/>
              <w:t xml:space="preserve"> </w:t>
            </w:r>
            <w:r>
              <w:rPr>
                <w:bCs/>
                <w:sz w:val="24"/>
                <w:szCs w:val="24"/>
              </w:rPr>
              <w:t>1024400507669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КПП</w:t>
            </w:r>
            <w:r>
              <w:rPr/>
              <w:t xml:space="preserve"> </w:t>
            </w:r>
            <w:r>
              <w:rPr>
                <w:bCs/>
                <w:sz w:val="24"/>
                <w:szCs w:val="24"/>
              </w:rPr>
              <w:t>440101001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156026, Костромская область, г. Кострома, ул. Гагарина, д. 21, пом/ком 1/44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р/с № 40702810829000004606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Костромское отделение №8640 ПАО Сбербанк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БИК 043469623</w:t>
            </w:r>
          </w:p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к/с 30101810200000000623</w:t>
            </w:r>
          </w:p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  <w:tc>
          <w:tcPr>
            <w:tcW w:w="4449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4906" w:type="dxa"/>
            <w:tcBorders/>
            <w:shd w:fill="auto" w:val="clear"/>
          </w:tcPr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Конкурсный управляющий</w:t>
            </w:r>
          </w:p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ООО ИСПО «Костромагорстрой»</w:t>
            </w:r>
          </w:p>
          <w:p>
            <w:pPr>
              <w:pStyle w:val="Normal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  <w:p>
            <w:pPr>
              <w:pStyle w:val="Normal"/>
              <w:pBdr>
                <w:bottom w:val="single" w:sz="12" w:space="1" w:color="000001"/>
              </w:pBdr>
              <w:tabs>
                <w:tab w:val="clear" w:pos="708"/>
                <w:tab w:val="left" w:pos="3399" w:leader="none"/>
              </w:tabs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ab/>
              <w:t>/М.В.Белов/</w:t>
            </w:r>
          </w:p>
          <w:p>
            <w:pPr>
              <w:pStyle w:val="Normal"/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М.П.</w:t>
            </w:r>
          </w:p>
        </w:tc>
        <w:tc>
          <w:tcPr>
            <w:tcW w:w="4449" w:type="dxa"/>
            <w:tcBorders/>
            <w:shd w:fill="auto" w:val="clear"/>
          </w:tcPr>
          <w:p>
            <w:pPr>
              <w:pStyle w:val="Normal"/>
              <w:jc w:val="center"/>
              <w:rPr>
                <w:b/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</w:r>
          </w:p>
        </w:tc>
      </w:tr>
    </w:tbl>
    <w:p>
      <w:pPr>
        <w:pStyle w:val="Normal"/>
        <w:ind w:left="357" w:hanging="0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ListParagraph"/>
        <w:ind w:left="0" w:firstLine="709"/>
        <w:rPr>
          <w:bCs/>
        </w:rPr>
      </w:pPr>
      <w:r>
        <w:rPr>
          <w:bCs/>
        </w:rPr>
      </w:r>
    </w:p>
    <w:p>
      <w:pPr>
        <w:pStyle w:val="ListParagraph"/>
        <w:ind w:left="709" w:hanging="0"/>
        <w:rPr/>
      </w:pPr>
      <w:r>
        <w:rPr/>
      </w:r>
    </w:p>
    <w:sectPr>
      <w:headerReference w:type="default" r:id="rId2"/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360" w:charSpace="163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4"/>
      <w:jc w:val="right"/>
      <w:rPr/>
    </w:pPr>
    <w:r>
      <w:rPr/>
    </w:r>
  </w:p>
  <w:p>
    <w:pPr>
      <w:pStyle w:val="Style24"/>
      <w:jc w:val="right"/>
      <w:rPr/>
    </w:pPr>
    <w:r>
      <w:rPr/>
    </w:r>
  </w:p>
  <w:p>
    <w:pPr>
      <w:pStyle w:val="Style24"/>
      <w:jc w:val="right"/>
      <w:rPr/>
    </w:pPr>
    <w:r>
      <w:rPr/>
      <w:t>ПРОЕКТ</w:t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069" w:hanging="360"/>
      </w:pPr>
    </w:lvl>
    <w:lvl w:ilvl="2">
      <w:start w:val="1"/>
      <w:numFmt w:val="decimal"/>
      <w:lvlText w:val="%1.%2.%3."/>
      <w:lvlJc w:val="left"/>
      <w:pPr>
        <w:ind w:left="1778" w:hanging="720"/>
      </w:pPr>
    </w:lvl>
    <w:lvl w:ilvl="3">
      <w:start w:val="1"/>
      <w:numFmt w:val="decimal"/>
      <w:lvlText w:val="%1.%2.%3.%4."/>
      <w:lvlJc w:val="left"/>
      <w:pPr>
        <w:ind w:left="2127" w:hanging="720"/>
      </w:pPr>
    </w:lvl>
    <w:lvl w:ilvl="4">
      <w:start w:val="1"/>
      <w:numFmt w:val="decimal"/>
      <w:lvlText w:val="%1.%2.%3.%4.%5."/>
      <w:lvlJc w:val="left"/>
      <w:pPr>
        <w:ind w:left="2836" w:hanging="1080"/>
      </w:pPr>
    </w:lvl>
    <w:lvl w:ilvl="5">
      <w:start w:val="1"/>
      <w:numFmt w:val="decimal"/>
      <w:lvlText w:val="%1.%2.%3.%4.%5.%6."/>
      <w:lvlJc w:val="left"/>
      <w:pPr>
        <w:ind w:left="3185" w:hanging="1080"/>
      </w:pPr>
    </w:lvl>
    <w:lvl w:ilvl="6">
      <w:start w:val="1"/>
      <w:numFmt w:val="decimal"/>
      <w:lvlText w:val="%1.%2.%3.%4.%5.%6.%7."/>
      <w:lvlJc w:val="left"/>
      <w:pPr>
        <w:ind w:left="3894" w:hanging="1440"/>
      </w:pPr>
    </w:lvl>
    <w:lvl w:ilvl="7">
      <w:start w:val="1"/>
      <w:numFmt w:val="decimal"/>
      <w:lvlText w:val="%1.%2.%3.%4.%5.%6.%7.%8."/>
      <w:lvlJc w:val="left"/>
      <w:pPr>
        <w:ind w:left="4243" w:hanging="1440"/>
      </w:pPr>
    </w:lvl>
    <w:lvl w:ilvl="8">
      <w:start w:val="1"/>
      <w:numFmt w:val="decimal"/>
      <w:lvlText w:val="%1.%2.%3.%4.%5.%6.%7.%8.%9."/>
      <w:lvlJc w:val="left"/>
      <w:pPr>
        <w:ind w:left="4952" w:hanging="180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rsid w:val="00f222dd"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ar-SA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sid w:val="009b3668"/>
    <w:rPr>
      <w:b/>
      <w:bCs/>
    </w:rPr>
  </w:style>
  <w:style w:type="character" w:styleId="Style14" w:customStyle="1">
    <w:name w:val="Верхний колонтитул Знак"/>
    <w:basedOn w:val="DefaultParagraphFont"/>
    <w:uiPriority w:val="99"/>
    <w:qFormat/>
    <w:rsid w:val="009b4f2b"/>
    <w:rPr>
      <w:rFonts w:ascii="Times New Roman" w:hAnsi="Times New Roman" w:eastAsia="Times New Roman" w:cs="Times New Roman"/>
      <w:szCs w:val="20"/>
      <w:lang w:eastAsia="ar-SA"/>
    </w:rPr>
  </w:style>
  <w:style w:type="character" w:styleId="Style15" w:customStyle="1">
    <w:name w:val="Нижний колонтитул Знак"/>
    <w:basedOn w:val="DefaultParagraphFont"/>
    <w:uiPriority w:val="99"/>
    <w:qFormat/>
    <w:rsid w:val="009b4f2b"/>
    <w:rPr>
      <w:rFonts w:ascii="Times New Roman" w:hAnsi="Times New Roman" w:eastAsia="Times New Roman" w:cs="Times New Roman"/>
      <w:szCs w:val="20"/>
      <w:lang w:eastAsia="ar-SA"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9b4f2b"/>
    <w:rPr>
      <w:rFonts w:ascii="Segoe UI" w:hAnsi="Segoe UI" w:eastAsia="Times New Roman" w:cs="Segoe UI"/>
      <w:sz w:val="18"/>
      <w:szCs w:val="18"/>
      <w:lang w:eastAsia="ar-SA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76" w:before="0" w:after="140"/>
    </w:pPr>
    <w:rPr/>
  </w:style>
  <w:style w:type="paragraph" w:styleId="Style19">
    <w:name w:val="List"/>
    <w:basedOn w:val="Style18"/>
    <w:pPr/>
    <w:rPr>
      <w:rFonts w:cs="Arial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heading">
    <w:name w:val="index heading"/>
    <w:basedOn w:val="Normal"/>
    <w:qFormat/>
    <w:pPr>
      <w:suppressLineNumbers/>
    </w:pPr>
    <w:rPr>
      <w:rFonts w:cs="Arial"/>
    </w:rPr>
  </w:style>
  <w:style w:type="paragraph" w:styleId="ListParagraph">
    <w:name w:val="List Paragraph"/>
    <w:basedOn w:val="Normal"/>
    <w:uiPriority w:val="34"/>
    <w:qFormat/>
    <w:rsid w:val="00f222dd"/>
    <w:pPr>
      <w:ind w:left="708" w:hanging="0"/>
      <w:jc w:val="both"/>
    </w:pPr>
    <w:rPr>
      <w:sz w:val="24"/>
      <w:szCs w:val="24"/>
    </w:rPr>
  </w:style>
  <w:style w:type="paragraph" w:styleId="Default" w:customStyle="1">
    <w:name w:val="Default"/>
    <w:qFormat/>
    <w:rsid w:val="00f222dd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0"/>
      <w:kern w:val="0"/>
      <w:sz w:val="24"/>
      <w:szCs w:val="24"/>
      <w:lang w:val="ru-RU" w:eastAsia="ru-RU" w:bidi="ar-SA"/>
    </w:rPr>
  </w:style>
  <w:style w:type="paragraph" w:styleId="LOnormal" w:customStyle="1">
    <w:name w:val="LO-normal"/>
    <w:qFormat/>
    <w:pPr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ru-RU" w:eastAsia="ru-RU" w:bidi="ar-SA"/>
    </w:rPr>
  </w:style>
  <w:style w:type="paragraph" w:styleId="Style23" w:customStyle="1">
    <w:name w:val="Верхний и нижний колонтитулы"/>
    <w:basedOn w:val="Normal"/>
    <w:qFormat/>
    <w:pPr/>
    <w:rPr/>
  </w:style>
  <w:style w:type="paragraph" w:styleId="Style24">
    <w:name w:val="Header"/>
    <w:basedOn w:val="Normal"/>
    <w:uiPriority w:val="99"/>
    <w:unhideWhenUsed/>
    <w:rsid w:val="009b4f2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5">
    <w:name w:val="Footer"/>
    <w:basedOn w:val="Normal"/>
    <w:uiPriority w:val="99"/>
    <w:unhideWhenUsed/>
    <w:rsid w:val="009b4f2b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BalloonText">
    <w:name w:val="Balloon Text"/>
    <w:basedOn w:val="Normal"/>
    <w:uiPriority w:val="99"/>
    <w:semiHidden/>
    <w:unhideWhenUsed/>
    <w:qFormat/>
    <w:rsid w:val="009b4f2b"/>
    <w:pPr/>
    <w:rPr>
      <w:rFonts w:ascii="Segoe UI" w:hAnsi="Segoe UI" w:cs="Segoe UI"/>
      <w:sz w:val="18"/>
      <w:szCs w:val="18"/>
    </w:rPr>
  </w:style>
  <w:style w:type="paragraph" w:styleId="Revision">
    <w:name w:val="Revision"/>
    <w:uiPriority w:val="99"/>
    <w:semiHidden/>
    <w:qFormat/>
    <w:rsid w:val="006b5012"/>
    <w:pPr>
      <w:widowControl/>
      <w:suppressAutoHyphens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0"/>
      <w:szCs w:val="20"/>
      <w:lang w:val="ru-RU" w:eastAsia="ar-SA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af2">
    <w:name w:val="Table Grid"/>
    <w:basedOn w:val="a1"/>
    <w:uiPriority w:val="59"/>
    <w:rsid w:val="00fb3268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5FA712-2EB0-4C0D-A7EF-3DEEA18EF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Application>LibreOffice/6.4.2.2$Windows_X86_64 LibreOffice_project/4e471d8c02c9c90f512f7f9ead8875b57fcb1ec3</Application>
  <Pages>4</Pages>
  <Words>1276</Words>
  <Characters>8879</Characters>
  <CharactersWithSpaces>10080</CharactersWithSpaces>
  <Paragraphs>74</Paragraphs>
  <Company>SPecialiST RePack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2021-12-04T06:53:00Z</dcterms:created>
  <dc:creator>1</dc:creator>
  <dc:description/>
  <dc:language>ru-RU</dc:language>
  <cp:lastModifiedBy/>
  <cp:lastPrinted>2021-06-21T09:22:00Z</cp:lastPrinted>
  <dcterms:modified xsi:type="dcterms:W3CDTF">2022-08-11T11:50:00Z</dcterms:modified>
  <cp:revision>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SPecialiST RePack</vt:lpwstr>
  </property>
  <property fmtid="{D5CDD505-2E9C-101B-9397-08002B2CF9AE}" pid="4" name="DocSecurity">
    <vt:i4>4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