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3791343F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3804F9">
              <w:rPr>
                <w:rFonts w:ascii="Times New Roman" w:hAnsi="Times New Roman"/>
                <w:sz w:val="24"/>
                <w:lang w:val="ru-RU"/>
              </w:rPr>
              <w:t>2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77D2443E" w14:textId="24CBB820" w:rsidR="00372A62" w:rsidRDefault="00286CCF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1.1.1.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130,4 кв.м. с кадастровым номером 39:15:130710:2095 по адресу: Калининградская обл., г. Калининград, ул. Согласия, д. 50, пом. III</w:t>
      </w:r>
      <w:r w:rsidR="006B0467">
        <w:rPr>
          <w:rFonts w:ascii="Times New Roman" w:hAnsi="Times New Roman"/>
          <w:sz w:val="24"/>
          <w:lang w:val="ru-RU"/>
        </w:rPr>
        <w:t>;</w:t>
      </w:r>
      <w:r w:rsidR="00372A62" w:rsidRPr="00372A62">
        <w:rPr>
          <w:rFonts w:ascii="Times New Roman" w:hAnsi="Times New Roman"/>
          <w:sz w:val="24"/>
          <w:lang w:val="ru-RU"/>
        </w:rPr>
        <w:t xml:space="preserve"> </w:t>
      </w:r>
    </w:p>
    <w:p w14:paraId="5935AD55" w14:textId="36637287" w:rsidR="00372A62" w:rsidRDefault="00286CCF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1.1.2.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92,9 кв.м. с кадастровым номером 39:15:130710:2097 по адресу: Калининградская обл., г. Калининград, ул. Согласия, д. 50, пом. V</w:t>
      </w:r>
      <w:r w:rsidR="006B0467">
        <w:rPr>
          <w:rFonts w:ascii="Times New Roman" w:hAnsi="Times New Roman"/>
          <w:sz w:val="24"/>
          <w:lang w:val="ru-RU"/>
        </w:rPr>
        <w:t>;</w:t>
      </w:r>
      <w:r w:rsidR="00372A62">
        <w:rPr>
          <w:rFonts w:ascii="Times New Roman" w:hAnsi="Times New Roman"/>
          <w:sz w:val="24"/>
          <w:lang w:val="ru-RU"/>
        </w:rPr>
        <w:t xml:space="preserve"> </w:t>
      </w:r>
    </w:p>
    <w:p w14:paraId="2365ACCE" w14:textId="202D62C9" w:rsidR="00372A62" w:rsidRDefault="00286CCF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1.1.3.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112,7 кв.м. с кадастровым номером 39:15:130710:2098 по адресу: Калининградская обл., г. Калининград, ул. Согласия, д. 50, пом. VI</w:t>
      </w:r>
      <w:r w:rsidR="006B0467">
        <w:rPr>
          <w:rFonts w:ascii="Times New Roman" w:hAnsi="Times New Roman"/>
          <w:sz w:val="24"/>
          <w:lang w:val="ru-RU"/>
        </w:rPr>
        <w:t>;</w:t>
      </w:r>
    </w:p>
    <w:p w14:paraId="00AAD646" w14:textId="08338646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1.1.4.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69,9 кв.м. с кадастровым номером 39:15:130710:2099 по адресу: Калининградская обл., г. Калининград, ул. Согласия, д. 50, пом. VII</w:t>
      </w:r>
      <w:r>
        <w:rPr>
          <w:rFonts w:ascii="Times New Roman" w:hAnsi="Times New Roman"/>
          <w:sz w:val="24"/>
          <w:lang w:val="ru-RU"/>
        </w:rPr>
        <w:t>;</w:t>
      </w:r>
    </w:p>
    <w:p w14:paraId="145E8FE8" w14:textId="3BB2E952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1.1.5.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42,3 кв.м. с кадастровым номером 39:15:130710:2100 по адресу: Калининградская обл., г. Калининград, ул. Согласия, д. 50, пом. VIII</w:t>
      </w:r>
      <w:r>
        <w:rPr>
          <w:rFonts w:ascii="Times New Roman" w:hAnsi="Times New Roman"/>
          <w:sz w:val="24"/>
          <w:lang w:val="ru-RU"/>
        </w:rPr>
        <w:t>;</w:t>
      </w:r>
    </w:p>
    <w:p w14:paraId="06209126" w14:textId="59ADC9FA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1.1.6.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42,9 кв.м. с кадастровым номером 39:15:130710:2103 по адресу: Калининградская обл., г. Калининград, ул. Согласия, д. 50, пом. XI</w:t>
      </w:r>
      <w:r>
        <w:rPr>
          <w:rFonts w:ascii="Times New Roman" w:hAnsi="Times New Roman"/>
          <w:sz w:val="24"/>
          <w:lang w:val="ru-RU"/>
        </w:rPr>
        <w:t>;</w:t>
      </w:r>
    </w:p>
    <w:p w14:paraId="6099500C" w14:textId="3A1DD55A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1.1.7.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58,1 кв.м. с кадастровым номером 39:15:130710:2278 по адресу: Калининградская обл., г. Калининград, ул. Согласия, д. 52, пом. III</w:t>
      </w:r>
      <w:r>
        <w:rPr>
          <w:rFonts w:ascii="Times New Roman" w:hAnsi="Times New Roman"/>
          <w:sz w:val="24"/>
          <w:lang w:val="ru-RU"/>
        </w:rPr>
        <w:t>;</w:t>
      </w:r>
    </w:p>
    <w:p w14:paraId="17121EFE" w14:textId="717E1EEF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1.1.8.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96,8 кв.м. с кадастровым номером 39:15:130710:2605 по адресу: Калининградская обл., г. Калининград, ул. Согласия, д. 54, пом. V</w:t>
      </w:r>
      <w:r>
        <w:rPr>
          <w:rFonts w:ascii="Times New Roman" w:hAnsi="Times New Roman"/>
          <w:sz w:val="24"/>
          <w:lang w:val="ru-RU"/>
        </w:rPr>
        <w:t>;</w:t>
      </w:r>
    </w:p>
    <w:p w14:paraId="204321E3" w14:textId="2E63895B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1.1.9. </w:t>
      </w:r>
      <w:r w:rsidR="00372A62" w:rsidRPr="00372A62">
        <w:rPr>
          <w:rFonts w:ascii="Times New Roman" w:hAnsi="Times New Roman"/>
          <w:sz w:val="24"/>
          <w:lang w:val="ru-RU"/>
        </w:rPr>
        <w:t xml:space="preserve">Нежилое помещение площадью 73,9 кв.м. с кадастровым номером </w:t>
      </w:r>
      <w:r w:rsidR="00372A62" w:rsidRPr="00372A62">
        <w:rPr>
          <w:rFonts w:ascii="Times New Roman" w:hAnsi="Times New Roman"/>
          <w:sz w:val="24"/>
          <w:lang w:val="ru-RU"/>
        </w:rPr>
        <w:lastRenderedPageBreak/>
        <w:t>39:15:130710:2606 по адресу: Калининградская обл., г. Калининград, ул. Согласия, д. 54, пом. VI</w:t>
      </w:r>
      <w:r>
        <w:rPr>
          <w:rFonts w:ascii="Times New Roman" w:hAnsi="Times New Roman"/>
          <w:sz w:val="24"/>
          <w:lang w:val="ru-RU"/>
        </w:rPr>
        <w:t>;</w:t>
      </w:r>
    </w:p>
    <w:p w14:paraId="1E6BE0E5" w14:textId="55CED578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1.1.10.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32,2 кв.м. с кадастровым номером 39:15:131924:1137 по адресу: Калининградская обл., г. Калининград, ул. Артиллерийская, д. 56, пом. XII</w:t>
      </w:r>
      <w:r>
        <w:rPr>
          <w:rFonts w:ascii="Times New Roman" w:hAnsi="Times New Roman"/>
          <w:sz w:val="24"/>
          <w:lang w:val="ru-RU"/>
        </w:rPr>
        <w:t>;</w:t>
      </w:r>
    </w:p>
    <w:p w14:paraId="1AFF0203" w14:textId="6A239129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1.1.11.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119,6 кв.м. с кадастровым номером 39:15:131924:2216 по адресу: Калининградская обл., г. Калининград, ул. Артиллерийская, д. 56, пом. XIX</w:t>
      </w:r>
      <w:r>
        <w:rPr>
          <w:rFonts w:ascii="Times New Roman" w:hAnsi="Times New Roman"/>
          <w:sz w:val="24"/>
          <w:lang w:val="ru-RU"/>
        </w:rPr>
        <w:t>;</w:t>
      </w:r>
    </w:p>
    <w:p w14:paraId="69639AF5" w14:textId="7BCACCAA" w:rsidR="00372A62" w:rsidRDefault="006B0467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1.1.12. </w:t>
      </w:r>
      <w:r w:rsidR="00372A62" w:rsidRPr="00372A62">
        <w:rPr>
          <w:rFonts w:ascii="Times New Roman" w:hAnsi="Times New Roman"/>
          <w:sz w:val="24"/>
          <w:lang w:val="ru-RU"/>
        </w:rPr>
        <w:t>Нежилое помещение площадью 120,8 кв.м. с кадастровым номером 39:15:131924:1435 по адресу: Калининградская обл., г. Калининград, ул. Артиллерийская, д. 58, пом. XIV.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55EB2E2A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4954D5" w:rsidRPr="003804F9">
        <w:rPr>
          <w:sz w:val="24"/>
          <w:szCs w:val="22"/>
        </w:rPr>
        <w:t>5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74B9C738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A75D6A">
        <w:rPr>
          <w:sz w:val="24"/>
          <w:szCs w:val="22"/>
          <w:highlight w:val="yellow"/>
        </w:rPr>
        <w:t>1.7.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A75D6A">
        <w:rPr>
          <w:sz w:val="24"/>
          <w:szCs w:val="22"/>
          <w:highlight w:val="yellow"/>
        </w:rPr>
        <w:t>ется</w:t>
      </w:r>
      <w:proofErr w:type="spellEnd"/>
      <w:r w:rsidRPr="00A75D6A">
        <w:rPr>
          <w:sz w:val="24"/>
          <w:szCs w:val="22"/>
          <w:highlight w:val="yellow"/>
        </w:rPr>
        <w:t>) указанные(</w:t>
      </w:r>
      <w:proofErr w:type="spellStart"/>
      <w:r w:rsidRPr="00A75D6A">
        <w:rPr>
          <w:sz w:val="24"/>
          <w:szCs w:val="22"/>
          <w:highlight w:val="yellow"/>
        </w:rPr>
        <w:t>ое</w:t>
      </w:r>
      <w:proofErr w:type="spellEnd"/>
      <w:r w:rsidRPr="00A75D6A">
        <w:rPr>
          <w:sz w:val="24"/>
          <w:szCs w:val="22"/>
          <w:highlight w:val="yellow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</w:t>
      </w:r>
      <w:proofErr w:type="gramStart"/>
      <w:r w:rsidRPr="007A622C">
        <w:rPr>
          <w:rStyle w:val="1"/>
          <w:rFonts w:ascii="Times New Roman" w:hAnsi="Times New Roman"/>
          <w:b/>
          <w:sz w:val="24"/>
          <w:szCs w:val="22"/>
        </w:rPr>
        <w:t>_</w:t>
      </w:r>
      <w:r w:rsidRPr="007A622C">
        <w:rPr>
          <w:rFonts w:ascii="Times New Roman" w:hAnsi="Times New Roman"/>
          <w:noProof/>
          <w:sz w:val="24"/>
          <w:szCs w:val="22"/>
        </w:rPr>
        <w:t>(</w:t>
      </w:r>
      <w:proofErr w:type="gramEnd"/>
      <w:r w:rsidRPr="007A622C">
        <w:rPr>
          <w:rFonts w:ascii="Times New Roman" w:hAnsi="Times New Roman"/>
          <w:noProof/>
          <w:sz w:val="24"/>
          <w:szCs w:val="22"/>
        </w:rPr>
        <w:t>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 xml:space="preserve">В случае нарушения Покупателем сроков перечисления платежа Продавец вправе отказаться от исполнения Договора в одностороннем порядке, при этом </w:t>
      </w:r>
      <w:proofErr w:type="gramStart"/>
      <w:r w:rsidRPr="00E82E08">
        <w:rPr>
          <w:rFonts w:ascii="Times New Roman" w:hAnsi="Times New Roman"/>
          <w:sz w:val="24"/>
          <w:lang w:val="ru-RU"/>
        </w:rPr>
        <w:t>задаток</w:t>
      </w:r>
      <w:proofErr w:type="gramEnd"/>
      <w:r w:rsidRPr="00E82E08">
        <w:rPr>
          <w:rFonts w:ascii="Times New Roman" w:hAnsi="Times New Roman"/>
          <w:sz w:val="24"/>
          <w:lang w:val="ru-RU"/>
        </w:rPr>
        <w:t xml:space="preserve"> </w:t>
      </w:r>
      <w:r w:rsidRPr="00E82E08">
        <w:rPr>
          <w:rFonts w:ascii="Times New Roman" w:hAnsi="Times New Roman"/>
          <w:sz w:val="24"/>
          <w:lang w:val="ru-RU"/>
        </w:rPr>
        <w:lastRenderedPageBreak/>
        <w:t>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lastRenderedPageBreak/>
              <w:t>АО СК «Росстрой»</w:t>
            </w:r>
          </w:p>
          <w:p w14:paraId="7E8436C8" w14:textId="74C6C3BC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7736229064; 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</w:p>
          <w:p w14:paraId="2E330312" w14:textId="2E2A1B2E" w:rsidR="003A0353" w:rsidRDefault="00E32815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E32815">
              <w:rPr>
                <w:rFonts w:ascii="Times New Roman" w:hAnsi="Times New Roman"/>
                <w:szCs w:val="20"/>
                <w:lang w:val="ru-RU"/>
              </w:rPr>
              <w:t>основной расчетный счет № 40702810632000011538 в Филиале "Санкт-Петербургский</w:t>
            </w:r>
            <w:proofErr w:type="gramStart"/>
            <w:r w:rsidRPr="00E32815">
              <w:rPr>
                <w:rFonts w:ascii="Times New Roman" w:hAnsi="Times New Roman"/>
                <w:szCs w:val="20"/>
                <w:lang w:val="ru-RU"/>
              </w:rPr>
              <w:t>"  АО</w:t>
            </w:r>
            <w:proofErr w:type="gramEnd"/>
            <w:r w:rsidRPr="00E32815">
              <w:rPr>
                <w:rFonts w:ascii="Times New Roman" w:hAnsi="Times New Roman"/>
                <w:szCs w:val="20"/>
                <w:lang w:val="ru-RU"/>
              </w:rPr>
              <w:t xml:space="preserve"> "АЛЬФА-БАНК", к/с 30101810600000000786, БИК 044030786.</w:t>
            </w:r>
          </w:p>
          <w:p w14:paraId="20618C94" w14:textId="595ACD93" w:rsidR="00E32815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u208</cp:lastModifiedBy>
  <cp:revision>70</cp:revision>
  <dcterms:created xsi:type="dcterms:W3CDTF">2017-10-03T16:37:00Z</dcterms:created>
  <dcterms:modified xsi:type="dcterms:W3CDTF">2022-04-07T10:02:00Z</dcterms:modified>
</cp:coreProperties>
</file>