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  <w:t xml:space="preserve">ДОГОВОР </w:t>
      </w:r>
    </w:p>
    <w:p>
      <w:pPr>
        <w:pStyle w:val="Normal"/>
        <w:jc w:val="center"/>
        <w:rPr/>
      </w:pPr>
      <w:r>
        <w:rPr>
          <w:b/>
          <w:i/>
        </w:rPr>
        <w:t>купли-продажи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i/>
          <w:i/>
          <w:color w:val="FF0000"/>
        </w:rPr>
      </w:pPr>
      <w:r>
        <w:rPr>
          <w:b/>
          <w:i/>
        </w:rPr>
        <w:t>г. Воронеж                                                                                           «___» __________ 2018 г.</w:t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ind w:firstLine="708"/>
        <w:jc w:val="both"/>
        <w:rPr/>
      </w:pPr>
      <w:r>
        <w:rPr>
          <w:b w:val="false"/>
          <w:bCs w:val="false"/>
        </w:rPr>
        <w:t>Финансовый управляющий</w:t>
      </w:r>
      <w:r>
        <w:rPr>
          <w:b w:val="false"/>
          <w:bCs w:val="false"/>
          <w:color w:val="FF0000"/>
        </w:rPr>
        <w:t xml:space="preserve"> </w:t>
      </w:r>
      <w:r>
        <w:rPr>
          <w:b w:val="false"/>
          <w:bCs w:val="false"/>
          <w:color w:val="000000"/>
          <w:lang w:val="ru-RU"/>
        </w:rPr>
        <w:t>Филиппова Игоря</w:t>
      </w:r>
      <w:r>
        <w:rPr>
          <w:b w:val="false"/>
          <w:bCs w:val="false"/>
          <w:color w:val="000000"/>
        </w:rPr>
        <w:t xml:space="preserve"> Василье</w:t>
      </w:r>
      <w:r>
        <w:rPr>
          <w:b w:val="false"/>
          <w:bCs w:val="false"/>
        </w:rPr>
        <w:t>вича (</w:t>
      </w:r>
      <w:r>
        <w:rPr>
          <w:b w:val="false"/>
          <w:bCs w:val="false"/>
          <w:color w:val="00000A"/>
        </w:rPr>
        <w:t>ИНН 366500529512, г. Воронеж, ул. Героев .Сибиряков, д.46, кв.50, СНИЛС 116-901-352 37, место рождения с. Оленино, Оленинский район, Калининской области), признанного решением Арбитражного суда Воронежской области от 17.06.2016 г. по делу № А14-15169/2015 несостоятельным (банкротом) Токарев Валерий Тимофеевич, действующий на основании определения Арбитражного суда Воронежской области от 25.05.2017 г. по делу № А14-15169/2015 и ФЗ «О несостоятельности (банкротстве)»,</w:t>
      </w:r>
      <w:r>
        <w:rPr>
          <w:b/>
        </w:rPr>
        <w:t xml:space="preserve"> </w:t>
      </w:r>
      <w:r>
        <w:rPr/>
        <w:t xml:space="preserve">именуемый в дальнейшем «Продавец», с одной стороны, и </w:t>
      </w:r>
      <w:r>
        <w:rPr>
          <w:b/>
          <w:i/>
        </w:rPr>
        <w:t xml:space="preserve">____________________________________________, </w:t>
      </w:r>
      <w:r>
        <w:rPr/>
        <w:t>в лице_________________________________________________________________________, действующ (-ая) на основании _____________________________, именуемый (-ая) в дальнейшем «Покупатель», с другой стороны, заключили настоящий договор о нижеследующем:</w:t>
      </w:r>
      <w:r>
        <w:rPr>
          <w:b/>
        </w:rPr>
        <w:t xml:space="preserve"> 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jc w:val="center"/>
        <w:rPr>
          <w:b/>
          <w:b/>
          <w:u w:val="single"/>
        </w:rPr>
      </w:pPr>
      <w:r>
        <w:rPr>
          <w:b/>
          <w:u w:val="single"/>
        </w:rPr>
        <w:t>Предмет договора</w:t>
      </w:r>
    </w:p>
    <w:p>
      <w:pPr>
        <w:pStyle w:val="Normal"/>
        <w:ind w:left="720" w:hanging="0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both"/>
        <w:rPr/>
      </w:pPr>
      <w:r>
        <w:rPr/>
        <w:tab/>
        <w:t>1.1. В соответствии с Протоколом об итогах торгов Продавец обязуется передать в собственность, а Покупатель обязуется принять и оплатить следующее имущество, расположенное по адресу:</w:t>
      </w:r>
      <w:r>
        <w:rPr>
          <w:rFonts w:eastAsia="Times New Roman" w:cs="Times New Roman"/>
          <w:lang w:eastAsia="ru-RU"/>
        </w:rPr>
        <w:t xml:space="preserve"> Воронежская область, г.Воронеж, Советский район, ул. Кривошеина, 74 ГСК «Фаэтон» (далее -Отчуждаемый объект):</w:t>
      </w:r>
    </w:p>
    <w:p>
      <w:pPr>
        <w:pStyle w:val="Normal"/>
        <w:jc w:val="both"/>
        <w:rPr/>
      </w:pPr>
      <w:r>
        <w:rPr>
          <w:rFonts w:eastAsia="Times New Roman" w:cs="Times New Roman"/>
          <w:lang w:eastAsia="ru-RU"/>
        </w:rPr>
        <w:t xml:space="preserve">- нежилое помещение - гараж с подвалом № 39, бокс № 12, </w:t>
      </w:r>
      <w:r>
        <w:rPr>
          <w:rFonts w:cs="Times New Roman"/>
        </w:rPr>
        <w:t>53,3 кв.м., кад. Номер: 36:34:0508001:1247.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contextualSpacing/>
        <w:jc w:val="center"/>
        <w:rPr>
          <w:u w:val="single"/>
        </w:rPr>
      </w:pPr>
      <w:r>
        <w:rPr>
          <w:rFonts w:eastAsia="Times New Roman" w:cs="Times New Roman"/>
          <w:b/>
          <w:bCs/>
          <w:u w:val="single"/>
          <w:lang w:eastAsia="ru-RU"/>
        </w:rPr>
        <w:t>2. Обязанности и ответственность сторон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bCs/>
          <w:lang w:eastAsia="ru-RU"/>
        </w:rPr>
      </w:pPr>
      <w:r>
        <w:rPr>
          <w:rFonts w:eastAsia="Times New Roman" w:cs="Times New Roman"/>
          <w:b/>
          <w:bCs/>
          <w:lang w:eastAsia="ru-RU"/>
        </w:rPr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/>
          <w:b/>
          <w:bCs/>
          <w:lang w:eastAsia="ru-RU"/>
        </w:rPr>
        <w:tab/>
      </w:r>
      <w:r>
        <w:rPr>
          <w:rFonts w:eastAsia="Times New Roman" w:cs="Times New Roman"/>
          <w:b w:val="false"/>
          <w:bCs w:val="false"/>
          <w:lang w:eastAsia="ru-RU"/>
        </w:rPr>
        <w:t>2.1</w:t>
      </w:r>
      <w:r>
        <w:rPr>
          <w:rFonts w:eastAsia="Times New Roman" w:cs="Times New Roman"/>
          <w:b/>
          <w:bCs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>Передача Продавцом объектов Покупателю осуществляется по передаточному акту в течение 10 (десяти) дней со дня поступления оплаты по договору.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/>
          <w:lang w:eastAsia="ru-RU"/>
        </w:rPr>
        <w:tab/>
        <w:t>2.2  Покупатель обязан принять и оплатить Отчуждаемый объект на условиях настоящего договора.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/>
          <w:lang w:eastAsia="ru-RU"/>
        </w:rPr>
        <w:tab/>
        <w:t>2.3. Сторона, виновная в неисполнении или ненадлежащем исполнении обязательств по настоящему договору, обязана в полном объеме возместить другой стороне причиненные убытки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/>
          <w:lang w:eastAsia="ru-RU"/>
        </w:rPr>
        <w:tab/>
        <w:t>2.4. Стороны несут ответственность согласно действующему законодательству РФ.</w:t>
      </w:r>
    </w:p>
    <w:p>
      <w:pPr>
        <w:pStyle w:val="Normal"/>
        <w:numPr>
          <w:ilvl w:val="1"/>
          <w:numId w:val="4"/>
        </w:numPr>
        <w:spacing w:lineRule="auto" w:line="240" w:before="0" w:after="0"/>
        <w:jc w:val="both"/>
        <w:rPr>
          <w:rFonts w:ascii="Times New Roman" w:hAnsi="Times New Roman" w:cs="Times New Roman"/>
          <w:spacing w:val="-4"/>
        </w:rPr>
      </w:pPr>
      <w:r>
        <w:rPr>
          <w:rFonts w:cs="Times New Roman"/>
          <w:spacing w:val="-4"/>
        </w:rPr>
      </w:r>
    </w:p>
    <w:p>
      <w:pPr>
        <w:pStyle w:val="Normal"/>
        <w:numPr>
          <w:ilvl w:val="0"/>
          <w:numId w:val="0"/>
        </w:numPr>
        <w:ind w:left="720" w:hanging="0"/>
        <w:jc w:val="center"/>
        <w:rPr/>
      </w:pPr>
      <w:r>
        <w:rPr>
          <w:b/>
          <w:u w:val="single"/>
        </w:rPr>
        <w:t xml:space="preserve">3. Общая стоимость договора и условия оплаты </w:t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ind w:firstLine="720"/>
        <w:jc w:val="both"/>
        <w:rPr/>
      </w:pPr>
      <w:r>
        <w:rPr/>
        <w:t>3.1.Общая стоимость передаваемого по настоящему договору имущества  составляет</w:t>
      </w:r>
      <w:r>
        <w:rPr>
          <w:shd w:fill="FFFFFF" w:val="clear"/>
        </w:rPr>
        <w:t>______________________________</w:t>
      </w:r>
      <w:r>
        <w:rPr/>
        <w:t xml:space="preserve">(__________________________________________________________________________________________________________) рубля ___ копеек. </w:t>
      </w:r>
    </w:p>
    <w:p>
      <w:pPr>
        <w:pStyle w:val="Normal"/>
        <w:ind w:firstLine="720"/>
        <w:jc w:val="both"/>
        <w:rPr/>
      </w:pPr>
      <w:r>
        <w:rPr>
          <w:rFonts w:eastAsia="Times New Roman" w:cs="Times New Roman"/>
          <w:lang w:eastAsia="ru-RU"/>
        </w:rPr>
        <w:t>3.2. Сумма внесённого Покупателем задатка засчитывается в оплату.</w:t>
      </w:r>
    </w:p>
    <w:p>
      <w:pPr>
        <w:pStyle w:val="Normal"/>
        <w:ind w:firstLine="720"/>
        <w:jc w:val="both"/>
        <w:rPr/>
      </w:pPr>
      <w:r>
        <w:rPr>
          <w:rFonts w:eastAsia="Times New Roman" w:cs="Times New Roman"/>
          <w:color w:val="000000"/>
          <w:lang w:eastAsia="ru-RU"/>
        </w:rPr>
        <w:t>3.3 Покупатель оплачивает имущество, указанное в п. 1.1. настоящего Договора, в размере стоимости, указанной в п.3.1. настоящего Договора за вычетом внесенного задатка в размере, указанном в п. 3.2. настоящего Договора, в течение 30 дней с даты подписания настоящего договора путем перечисления денежных средств на счет</w:t>
      </w:r>
      <w:r>
        <w:rPr>
          <w:rFonts w:eastAsia="Times New Roman" w:cs="Times New Roman"/>
          <w:caps w:val="false"/>
          <w:smallCaps w:val="false"/>
          <w:color w:val="000000"/>
          <w:spacing w:val="0"/>
          <w:sz w:val="24"/>
          <w:szCs w:val="24"/>
          <w:lang w:eastAsia="ru-RU"/>
        </w:rPr>
        <w:t xml:space="preserve">№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 xml:space="preserve">42306.810.5.1300.4732503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в Центрально – Черноземный банке СБ РФ г.Воронеж  ИНН 7707083893 КПП 366402001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БИК 042007681 к/сч 301018106000000006.</w:t>
      </w:r>
    </w:p>
    <w:p>
      <w:pPr>
        <w:pStyle w:val="Normal"/>
        <w:numPr>
          <w:ilvl w:val="0"/>
          <w:numId w:val="0"/>
        </w:numPr>
        <w:ind w:hanging="0"/>
        <w:jc w:val="both"/>
        <w:outlineLvl w:val="1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ab/>
      </w:r>
      <w:r>
        <w:rPr/>
        <w:t>3.4. Покупатель считается  исполнившим свои обязательства по оплате Объектов с момента поступления денежных средств на счет Продавца в полном объеме.</w:t>
      </w:r>
    </w:p>
    <w:p>
      <w:pPr>
        <w:pStyle w:val="Normal"/>
        <w:numPr>
          <w:ilvl w:val="0"/>
          <w:numId w:val="0"/>
        </w:numPr>
        <w:jc w:val="both"/>
        <w:outlineLvl w:val="1"/>
        <w:rPr>
          <w:color w:val="FF0000"/>
        </w:rPr>
      </w:pPr>
      <w:r>
        <w:rPr>
          <w:color w:val="FF0000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center"/>
        <w:rPr/>
      </w:pPr>
      <w:r>
        <w:rPr>
          <w:rFonts w:eastAsia="Times New Roman" w:cs="Times New Roman"/>
          <w:b/>
          <w:bCs/>
          <w:u w:val="single"/>
          <w:lang w:eastAsia="ru-RU"/>
        </w:rPr>
        <w:t>Порядок рассмотрения споров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contextualSpacing/>
        <w:jc w:val="center"/>
        <w:rPr>
          <w:rFonts w:ascii="Times New Roman" w:hAnsi="Times New Roman" w:eastAsia="Times New Roman" w:cs="Times New Roman"/>
          <w:b/>
          <w:b/>
          <w:bCs/>
          <w:u w:val="single"/>
          <w:lang w:eastAsia="ru-RU"/>
        </w:rPr>
      </w:pPr>
      <w:r>
        <w:rPr>
          <w:rFonts w:eastAsia="Times New Roman" w:cs="Times New Roman"/>
          <w:b/>
          <w:bCs/>
          <w:u w:val="single"/>
          <w:lang w:eastAsia="ru-RU"/>
        </w:rPr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/>
          <w:b w:val="false"/>
          <w:bCs w:val="false"/>
          <w:u w:val="none"/>
          <w:lang w:eastAsia="ru-RU"/>
        </w:rPr>
        <w:tab/>
      </w:r>
      <w:r>
        <w:rPr>
          <w:rFonts w:eastAsia="Times New Roman" w:cs="Times New Roman"/>
          <w:lang w:eastAsia="ru-RU"/>
        </w:rPr>
        <w:t>4.1. Споры и разногласия, которые могут возникнуть из настоящего договора, по возможности будут разрешаться путем переговоров.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Times New Roman"/>
          <w:lang w:eastAsia="ru-RU"/>
        </w:rPr>
        <w:tab/>
        <w:t>4.2. Если споры и разногласия не могут быть решены путем переговоров, они подлежат разрешению в Арбитражном суде Воронежской  области.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2160" w:hanging="0"/>
        <w:contextualSpacing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jc w:val="center"/>
        <w:rPr/>
      </w:pPr>
      <w:r>
        <w:rPr>
          <w:b/>
          <w:u w:val="single"/>
        </w:rPr>
        <w:t>5.Заключительные положения</w:t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ind w:hanging="0"/>
        <w:jc w:val="both"/>
        <w:rPr/>
      </w:pPr>
      <w:r>
        <w:rPr>
          <w:rFonts w:eastAsia="Times New Roman" w:cs="Times New Roman"/>
          <w:lang w:eastAsia="ru-RU"/>
        </w:rPr>
        <w:tab/>
        <w:t>5.1. Все изменения и дополнения к настоящему договору действительны только в случае, если они совершены в письменной форме и подписаны Сторонами настоящего договора.</w:t>
      </w:r>
    </w:p>
    <w:p>
      <w:pPr>
        <w:pStyle w:val="Normal"/>
        <w:ind w:hanging="0"/>
        <w:jc w:val="both"/>
        <w:rPr/>
      </w:pPr>
      <w:r>
        <w:rPr>
          <w:rFonts w:eastAsia="Times New Roman" w:cs="Times New Roman"/>
          <w:lang w:eastAsia="ru-RU"/>
        </w:rPr>
        <w:tab/>
        <w:t xml:space="preserve">5.2. Настоящий договор составлен на русском языке, в трех экземплярах, имеющих равную юридическую силу, по одному для каждой из Сторон, </w:t>
      </w:r>
      <w:r>
        <w:rPr>
          <w:rFonts w:cs="Times New Roman"/>
        </w:rPr>
        <w:t>один – для Федеральной службы государственной регистрации, кадастра и картографии.</w:t>
      </w:r>
    </w:p>
    <w:p>
      <w:pPr>
        <w:pStyle w:val="Normal"/>
        <w:ind w:hanging="0"/>
        <w:jc w:val="both"/>
        <w:rPr/>
      </w:pPr>
      <w:r>
        <w:rPr>
          <w:rFonts w:eastAsia="Times New Roman" w:cs="Times New Roman"/>
          <w:lang w:eastAsia="ru-RU"/>
        </w:rPr>
        <w:tab/>
        <w:t xml:space="preserve">5.3. Настоящий договор вступает в силу с </w:t>
      </w:r>
      <w:r>
        <w:rPr>
          <w:rFonts w:cs="Times New Roman"/>
        </w:rPr>
        <w:t>момента государственной регистрации перехода права собственности на недвижимость в Федеральной службе государственной регистрации, кадастра и картографии.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lang w:eastAsia="ru-RU"/>
        </w:rPr>
      </w:pPr>
      <w:r>
        <w:rPr>
          <w:rFonts w:eastAsia="Times New Roman" w:cs="Times New Roman"/>
          <w:b/>
          <w:bCs/>
          <w:lang w:eastAsia="ru-RU"/>
        </w:rPr>
      </w:r>
    </w:p>
    <w:p>
      <w:pPr>
        <w:pStyle w:val="ListParagraph"/>
        <w:spacing w:lineRule="auto" w:line="240" w:before="0" w:after="0"/>
        <w:ind w:left="360" w:hanging="0"/>
        <w:contextualSpacing/>
        <w:jc w:val="both"/>
        <w:rPr>
          <w:rFonts w:ascii="Times New Roman" w:hAnsi="Times New Roman" w:eastAsia="Times New Roman" w:cs="Times New Roman"/>
          <w:b/>
          <w:b/>
          <w:bCs/>
          <w:color w:val="FF0000"/>
          <w:lang w:eastAsia="ru-RU"/>
        </w:rPr>
      </w:pPr>
      <w:r>
        <w:rPr>
          <w:rFonts w:eastAsia="Times New Roman" w:cs="Times New Roman"/>
          <w:b/>
          <w:bCs/>
          <w:color w:val="FF0000"/>
          <w:lang w:eastAsia="ru-RU"/>
        </w:rPr>
      </w:r>
    </w:p>
    <w:p>
      <w:pPr>
        <w:pStyle w:val="Normal"/>
        <w:numPr>
          <w:ilvl w:val="0"/>
          <w:numId w:val="3"/>
        </w:numPr>
        <w:tabs>
          <w:tab w:val="left" w:pos="0" w:leader="none"/>
        </w:tabs>
        <w:jc w:val="center"/>
        <w:rPr>
          <w:u w:val="single"/>
        </w:rPr>
      </w:pPr>
      <w:r>
        <w:rPr>
          <w:b/>
          <w:u w:val="single"/>
        </w:rPr>
        <w:t>Реквизиты и подписи сторон</w:t>
      </w:r>
    </w:p>
    <w:p>
      <w:pPr>
        <w:pStyle w:val="Normal"/>
        <w:tabs>
          <w:tab w:val="left" w:pos="0" w:leader="none"/>
        </w:tabs>
        <w:jc w:val="center"/>
        <w:rPr>
          <w:b/>
          <w:b/>
        </w:rPr>
      </w:pPr>
      <w:r>
        <w:rPr>
          <w:b/>
        </w:rPr>
      </w:r>
    </w:p>
    <w:tbl>
      <w:tblPr>
        <w:tblW w:w="9862" w:type="dxa"/>
        <w:jc w:val="left"/>
        <w:tblInd w:w="-34" w:type="dxa"/>
        <w:tblBorders/>
        <w:tblCellMar>
          <w:top w:w="0" w:type="dxa"/>
          <w:left w:w="11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815"/>
        <w:gridCol w:w="284"/>
        <w:gridCol w:w="4763"/>
      </w:tblGrid>
      <w:tr>
        <w:trPr>
          <w:trHeight w:val="576" w:hRule="atLeast"/>
        </w:trPr>
        <w:tc>
          <w:tcPr>
            <w:tcW w:w="4815" w:type="dxa"/>
            <w:tcBorders/>
            <w:shd w:fill="auto" w:val="clear"/>
          </w:tcPr>
          <w:p>
            <w:pPr>
              <w:pStyle w:val="Normal"/>
              <w:ind w:firstLine="43"/>
              <w:jc w:val="center"/>
              <w:rPr>
                <w:b/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«Продавец»:</w:t>
            </w:r>
          </w:p>
          <w:p>
            <w:pPr>
              <w:pStyle w:val="Normal"/>
              <w:ind w:firstLine="43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ind w:firstLine="43"/>
              <w:jc w:val="center"/>
              <w:rPr/>
            </w:pPr>
            <w:r>
              <w:rPr/>
              <w:t>Финансовый управляющий</w:t>
            </w:r>
            <w:r>
              <w:rPr>
                <w:bCs/>
              </w:rPr>
              <w:t xml:space="preserve"> </w:t>
            </w:r>
          </w:p>
          <w:p>
            <w:pPr>
              <w:pStyle w:val="Normal"/>
              <w:ind w:firstLine="43"/>
              <w:jc w:val="center"/>
              <w:rPr/>
            </w:pPr>
            <w:r>
              <w:rPr/>
              <w:t>Филиппова Игоря Васильевича</w:t>
            </w:r>
          </w:p>
          <w:p>
            <w:pPr>
              <w:pStyle w:val="Normal"/>
              <w:ind w:firstLine="43"/>
              <w:jc w:val="center"/>
              <w:rPr/>
            </w:pPr>
            <w:r>
              <w:rPr>
                <w:bCs/>
              </w:rPr>
              <w:t>Токарев Валерий Тимофеевич</w:t>
            </w:r>
            <w:r>
              <w:rPr>
                <w:b/>
              </w:rPr>
              <w:t>,</w:t>
            </w:r>
          </w:p>
          <w:p>
            <w:pPr>
              <w:pStyle w:val="Style15"/>
              <w:bidi w:val="0"/>
              <w:spacing w:lineRule="auto" w:line="288" w:before="0" w:after="0"/>
              <w:ind w:left="0" w:right="0" w:hanging="0"/>
              <w:jc w:val="center"/>
              <w:rPr/>
            </w:pPr>
            <w:r>
              <w:rPr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№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42306.810.5.1300.4732503</w:t>
            </w:r>
          </w:p>
          <w:p>
            <w:pPr>
              <w:pStyle w:val="Style15"/>
              <w:widowControl/>
              <w:bidi w:val="0"/>
              <w:spacing w:lineRule="auto" w:line="288" w:before="0" w:after="0"/>
              <w:ind w:left="0" w:right="0" w:hanging="0"/>
              <w:jc w:val="center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в Центрально – Черноземный банке СБ РФ г.Воронеж  ИНН 7707083893 КПП 366402001</w:t>
            </w:r>
          </w:p>
          <w:p>
            <w:pPr>
              <w:pStyle w:val="Style15"/>
              <w:widowControl/>
              <w:bidi w:val="0"/>
              <w:spacing w:lineRule="auto" w:line="288" w:before="0" w:after="0"/>
              <w:ind w:left="0" w:right="0" w:hanging="0"/>
              <w:jc w:val="center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БИК 042007681 к/сч 301018106000000006</w:t>
            </w:r>
          </w:p>
          <w:p>
            <w:pPr>
              <w:pStyle w:val="Normal"/>
              <w:ind w:firstLine="43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Финансовый управляющий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______________________/В.Т. Токарев</w:t>
            </w:r>
          </w:p>
          <w:p>
            <w:pPr>
              <w:pStyle w:val="Normal"/>
              <w:rPr/>
            </w:pPr>
            <w:r>
              <w:rPr/>
              <w:t>м.п.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ConsNormal"/>
              <w:widowControl/>
              <w:ind w:right="0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763" w:type="dxa"/>
            <w:tcBorders/>
            <w:shd w:fill="auto" w:val="clear"/>
          </w:tcPr>
          <w:p>
            <w:pPr>
              <w:pStyle w:val="ConsNormal"/>
              <w:widowControl/>
              <w:ind w:right="0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  <w:t>«Покупатель»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:</w:t>
            </w:r>
          </w:p>
          <w:p>
            <w:pPr>
              <w:pStyle w:val="ConsNormal"/>
              <w:widowControl/>
              <w:ind w:righ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ConsNormal"/>
              <w:widowControl/>
              <w:ind w:right="0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____________________________</w:t>
            </w:r>
          </w:p>
          <w:p>
            <w:pPr>
              <w:pStyle w:val="ConsNormal"/>
              <w:widowControl/>
              <w:ind w:righ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ConsNormal"/>
              <w:widowControl/>
              <w:ind w:righ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>
            <w:pPr>
              <w:pStyle w:val="ConsNormal"/>
              <w:widowControl/>
              <w:ind w:righ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>
            <w:pPr>
              <w:pStyle w:val="ConsNormal"/>
              <w:widowControl/>
              <w:ind w:righ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>
            <w:pPr>
              <w:pStyle w:val="ConsNormal"/>
              <w:widowControl/>
              <w:ind w:righ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>
            <w:pPr>
              <w:pStyle w:val="ConsNormal"/>
              <w:widowControl/>
              <w:ind w:righ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>
            <w:pPr>
              <w:pStyle w:val="ConsNormal"/>
              <w:widowControl/>
              <w:ind w:right="0" w:hanging="0"/>
              <w:rPr>
                <w:rFonts w:ascii="Times New Roman" w:hAnsi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</w:r>
          </w:p>
          <w:p>
            <w:pPr>
              <w:pStyle w:val="ConsNormal"/>
              <w:widowControl/>
              <w:ind w:right="0" w:hanging="0"/>
              <w:rPr>
                <w:rFonts w:ascii="Times New Roman" w:hAnsi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</w:r>
          </w:p>
          <w:p>
            <w:pPr>
              <w:pStyle w:val="ConsNormal"/>
              <w:widowControl/>
              <w:ind w:right="0" w:hanging="0"/>
              <w:rPr>
                <w:rFonts w:ascii="Times New Roman" w:hAnsi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</w:r>
          </w:p>
          <w:p>
            <w:pPr>
              <w:pStyle w:val="ConsNormal"/>
              <w:widowControl/>
              <w:ind w:right="0" w:hanging="0"/>
              <w:rPr>
                <w:rFonts w:ascii="Times New Roman" w:hAnsi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</w:r>
          </w:p>
          <w:p>
            <w:pPr>
              <w:pStyle w:val="ConsNormal"/>
              <w:widowControl/>
              <w:ind w:right="0" w:hanging="0"/>
              <w:rPr>
                <w:rFonts w:ascii="Times New Roman" w:hAnsi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</w:r>
          </w:p>
          <w:p>
            <w:pPr>
              <w:pStyle w:val="ConsNormal"/>
              <w:widowControl/>
              <w:ind w:righ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>__________________/_______________</w:t>
            </w:r>
          </w:p>
          <w:p>
            <w:pPr>
              <w:pStyle w:val="ConsNormal"/>
              <w:widowControl/>
              <w:ind w:righ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м.п.</w:t>
            </w:r>
          </w:p>
        </w:tc>
      </w:tr>
    </w:tbl>
    <w:p>
      <w:pPr>
        <w:pStyle w:val="Normal"/>
        <w:tabs>
          <w:tab w:val="left" w:pos="2235" w:leader="none"/>
        </w:tabs>
        <w:rPr/>
      </w:pPr>
      <w:r>
        <w:rPr/>
      </w:r>
    </w:p>
    <w:sectPr>
      <w:headerReference w:type="default" r:id="rId2"/>
      <w:type w:val="nextPage"/>
      <w:pgSz w:w="11906" w:h="16838"/>
      <w:pgMar w:left="1701" w:right="850" w:header="708" w:top="765" w:footer="0" w:bottom="568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Consultant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ind w:right="360" w:hanging="0"/>
      <w:rPr/>
    </w:pPr>
    <w: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9375" cy="17462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9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stroked="f" style="position:absolute;margin-left:461.5pt;margin-top:0.05pt;width:6.1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9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/>
      <w:t>ПРОЕКТ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215cf6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322ae8"/>
    <w:rPr/>
  </w:style>
  <w:style w:type="character" w:styleId="Applestylespan" w:customStyle="1">
    <w:name w:val="apple-style-span"/>
    <w:basedOn w:val="DefaultParagraphFont"/>
    <w:qFormat/>
    <w:rsid w:val="00356e58"/>
    <w:rPr/>
  </w:style>
  <w:style w:type="character" w:styleId="Paragraph" w:customStyle="1">
    <w:name w:val="paragraph"/>
    <w:basedOn w:val="DefaultParagraphFont"/>
    <w:qFormat/>
    <w:rsid w:val="00bc6ca4"/>
    <w:rPr/>
  </w:style>
  <w:style w:type="character" w:styleId="S1" w:customStyle="1">
    <w:name w:val="s1"/>
    <w:basedOn w:val="DefaultParagraphFont"/>
    <w:qFormat/>
    <w:rsid w:val="00e12917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b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b/>
    </w:rPr>
  </w:style>
  <w:style w:type="character" w:styleId="ListLabel9">
    <w:name w:val="ListLabel 9"/>
    <w:qFormat/>
    <w:rPr>
      <w:b/>
    </w:rPr>
  </w:style>
  <w:style w:type="character" w:styleId="ListLabel10">
    <w:name w:val="ListLabel 10"/>
    <w:qFormat/>
    <w:rPr>
      <w:b/>
      <w:sz w:val="22"/>
    </w:rPr>
  </w:style>
  <w:style w:type="character" w:styleId="ListLabel11">
    <w:name w:val="ListLabel 11"/>
    <w:qFormat/>
    <w:rPr>
      <w:sz w:val="24"/>
    </w:rPr>
  </w:style>
  <w:style w:type="character" w:styleId="ListLabel12">
    <w:name w:val="ListLabel 12"/>
    <w:qFormat/>
    <w:rPr>
      <w:sz w:val="24"/>
    </w:rPr>
  </w:style>
  <w:style w:type="character" w:styleId="ListLabel13">
    <w:name w:val="ListLabel 13"/>
    <w:qFormat/>
    <w:rPr>
      <w:sz w:val="24"/>
    </w:rPr>
  </w:style>
  <w:style w:type="character" w:styleId="ListLabel14">
    <w:name w:val="ListLabel 14"/>
    <w:qFormat/>
    <w:rPr>
      <w:sz w:val="24"/>
    </w:rPr>
  </w:style>
  <w:style w:type="character" w:styleId="ListLabel15">
    <w:name w:val="ListLabel 15"/>
    <w:qFormat/>
    <w:rPr>
      <w:sz w:val="24"/>
    </w:rPr>
  </w:style>
  <w:style w:type="character" w:styleId="ListLabel16">
    <w:name w:val="ListLabel 16"/>
    <w:qFormat/>
    <w:rPr>
      <w:sz w:val="24"/>
    </w:rPr>
  </w:style>
  <w:style w:type="character" w:styleId="ListLabel17">
    <w:name w:val="ListLabel 17"/>
    <w:qFormat/>
    <w:rPr>
      <w:sz w:val="24"/>
    </w:rPr>
  </w:style>
  <w:style w:type="character" w:styleId="ListLabel18">
    <w:name w:val="ListLabel 18"/>
    <w:qFormat/>
    <w:rPr>
      <w:sz w:val="24"/>
    </w:rPr>
  </w:style>
  <w:style w:type="character" w:styleId="ListLabel19">
    <w:name w:val="ListLabel 19"/>
    <w:qFormat/>
    <w:rPr>
      <w:sz w:val="24"/>
    </w:rPr>
  </w:style>
  <w:style w:type="character" w:styleId="ListLabel20">
    <w:name w:val="ListLabel 20"/>
    <w:qFormat/>
    <w:rPr>
      <w:b/>
    </w:rPr>
  </w:style>
  <w:style w:type="character" w:styleId="ListLabel21">
    <w:name w:val="ListLabel 21"/>
    <w:qFormat/>
    <w:rPr>
      <w:sz w:val="24"/>
    </w:rPr>
  </w:style>
  <w:style w:type="character" w:styleId="ListLabel22">
    <w:name w:val="ListLabel 22"/>
    <w:qFormat/>
    <w:rPr>
      <w:sz w:val="24"/>
    </w:rPr>
  </w:style>
  <w:style w:type="character" w:styleId="ListLabel23">
    <w:name w:val="ListLabel 23"/>
    <w:qFormat/>
    <w:rPr>
      <w:sz w:val="24"/>
    </w:rPr>
  </w:style>
  <w:style w:type="character" w:styleId="ListLabel24">
    <w:name w:val="ListLabel 24"/>
    <w:qFormat/>
    <w:rPr>
      <w:sz w:val="24"/>
    </w:rPr>
  </w:style>
  <w:style w:type="character" w:styleId="ListLabel25">
    <w:name w:val="ListLabel 25"/>
    <w:qFormat/>
    <w:rPr>
      <w:sz w:val="24"/>
    </w:rPr>
  </w:style>
  <w:style w:type="character" w:styleId="ListLabel26">
    <w:name w:val="ListLabel 26"/>
    <w:qFormat/>
    <w:rPr>
      <w:sz w:val="24"/>
    </w:rPr>
  </w:style>
  <w:style w:type="character" w:styleId="ListLabel27">
    <w:name w:val="ListLabel 27"/>
    <w:qFormat/>
    <w:rPr>
      <w:sz w:val="24"/>
    </w:rPr>
  </w:style>
  <w:style w:type="character" w:styleId="ListLabel28">
    <w:name w:val="ListLabel 28"/>
    <w:qFormat/>
    <w:rPr>
      <w:sz w:val="24"/>
    </w:rPr>
  </w:style>
  <w:style w:type="character" w:styleId="ListLabel29">
    <w:name w:val="ListLabel 29"/>
    <w:qFormat/>
    <w:rPr>
      <w:sz w:val="24"/>
    </w:rPr>
  </w:style>
  <w:style w:type="character" w:styleId="ListLabel30">
    <w:name w:val="ListLabel 30"/>
    <w:qFormat/>
    <w:rPr>
      <w:b/>
    </w:rPr>
  </w:style>
  <w:style w:type="character" w:styleId="ListLabel31">
    <w:name w:val="ListLabel 31"/>
    <w:qFormat/>
    <w:rPr>
      <w:b/>
    </w:rPr>
  </w:style>
  <w:style w:type="character" w:styleId="ListLabel32">
    <w:name w:val="ListLabel 32"/>
    <w:qFormat/>
    <w:rPr>
      <w:b/>
      <w:sz w:val="22"/>
    </w:rPr>
  </w:style>
  <w:style w:type="character" w:styleId="ListLabel33">
    <w:name w:val="ListLabel 33"/>
    <w:qFormat/>
    <w:rPr>
      <w:b/>
    </w:rPr>
  </w:style>
  <w:style w:type="character" w:styleId="ListLabel34">
    <w:name w:val="ListLabel 34"/>
    <w:qFormat/>
    <w:rPr>
      <w:b/>
      <w:sz w:val="22"/>
    </w:rPr>
  </w:style>
  <w:style w:type="character" w:styleId="ListLabel35">
    <w:name w:val="ListLabel 35"/>
    <w:qFormat/>
    <w:rPr>
      <w:b/>
    </w:rPr>
  </w:style>
  <w:style w:type="character" w:styleId="ListLabel36">
    <w:name w:val="ListLabel 36"/>
    <w:qFormat/>
    <w:rPr>
      <w:b/>
      <w:sz w:val="22"/>
    </w:rPr>
  </w:style>
  <w:style w:type="character" w:styleId="ListLabel37">
    <w:name w:val="ListLabel 37"/>
    <w:qFormat/>
    <w:rPr>
      <w:b/>
    </w:rPr>
  </w:style>
  <w:style w:type="character" w:styleId="ListLabel38">
    <w:name w:val="ListLabel 38"/>
    <w:qFormat/>
    <w:rPr>
      <w:b/>
      <w:sz w:val="22"/>
    </w:rPr>
  </w:style>
  <w:style w:type="character" w:styleId="ListLabel39">
    <w:name w:val="ListLabel 39"/>
    <w:qFormat/>
    <w:rPr>
      <w:b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Nonformat" w:customStyle="1">
    <w:name w:val="ConsPlusNonformat"/>
    <w:qFormat/>
    <w:rsid w:val="001a4ed4"/>
    <w:pPr>
      <w:widowControl w:val="false"/>
      <w:bidi w:val="0"/>
      <w:jc w:val="left"/>
    </w:pPr>
    <w:rPr>
      <w:rFonts w:ascii="Courier New" w:hAnsi="Courier New" w:eastAsia="Times New Roman" w:cs="Courier New"/>
      <w:color w:val="00000A"/>
      <w:sz w:val="24"/>
      <w:szCs w:val="20"/>
      <w:lang w:val="ru-RU" w:eastAsia="ru-RU" w:bidi="ar-SA"/>
    </w:rPr>
  </w:style>
  <w:style w:type="paragraph" w:styleId="Style19">
    <w:name w:val="Header"/>
    <w:basedOn w:val="Normal"/>
    <w:rsid w:val="00322ae8"/>
    <w:pPr>
      <w:tabs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c231f6"/>
    <w:pPr>
      <w:widowControl w:val="false"/>
      <w:bidi w:val="0"/>
      <w:ind w:right="19772" w:firstLine="720"/>
      <w:jc w:val="left"/>
    </w:pPr>
    <w:rPr>
      <w:rFonts w:ascii="Arial" w:hAnsi="Arial" w:eastAsia="Times New Roman" w:cs="Arial"/>
      <w:color w:val="00000A"/>
      <w:sz w:val="28"/>
      <w:szCs w:val="28"/>
      <w:lang w:val="ru-RU" w:eastAsia="ru-RU" w:bidi="ar-SA"/>
    </w:rPr>
  </w:style>
  <w:style w:type="paragraph" w:styleId="BodyTextIndent2">
    <w:name w:val="Body Text Indent 2"/>
    <w:basedOn w:val="Normal"/>
    <w:qFormat/>
    <w:rsid w:val="00c231f6"/>
    <w:pPr>
      <w:ind w:firstLine="709"/>
      <w:jc w:val="both"/>
    </w:pPr>
    <w:rPr>
      <w:sz w:val="28"/>
      <w:szCs w:val="26"/>
    </w:rPr>
  </w:style>
  <w:style w:type="paragraph" w:styleId="21" w:customStyle="1">
    <w:name w:val="Основной текст 21"/>
    <w:basedOn w:val="Normal"/>
    <w:qFormat/>
    <w:rsid w:val="00bb5a8c"/>
    <w:pPr>
      <w:overflowPunct w:val="true"/>
      <w:ind w:left="567" w:hanging="0"/>
      <w:jc w:val="both"/>
      <w:textAlignment w:val="baseline"/>
    </w:pPr>
    <w:rPr>
      <w:sz w:val="26"/>
      <w:szCs w:val="20"/>
    </w:rPr>
  </w:style>
  <w:style w:type="paragraph" w:styleId="Nonformat" w:customStyle="1">
    <w:name w:val="Nonformat"/>
    <w:basedOn w:val="Normal"/>
    <w:qFormat/>
    <w:rsid w:val="00781a6e"/>
    <w:pPr>
      <w:overflowPunct w:val="true"/>
      <w:textAlignment w:val="baseline"/>
    </w:pPr>
    <w:rPr>
      <w:rFonts w:ascii="Consultant" w:hAnsi="Consultant"/>
      <w:sz w:val="20"/>
      <w:szCs w:val="20"/>
    </w:rPr>
  </w:style>
  <w:style w:type="paragraph" w:styleId="Style20">
    <w:name w:val="Содержимое врезки"/>
    <w:basedOn w:val="Normal"/>
    <w:qFormat/>
    <w:pPr/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fb1f2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LibreOffice/5.3.3.2$Windows_x86 LibreOffice_project/3d9a8b4b4e538a85e0782bd6c2d430bafe583448</Application>
  <Pages>2</Pages>
  <Words>493</Words>
  <Characters>3831</Characters>
  <CharactersWithSpaces>4391</CharactersWithSpaces>
  <Paragraphs>46</Paragraphs>
  <Company>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2013-03-21T14:40:00Z</dcterms:created>
  <dc:creator>Storm</dc:creator>
  <dc:description/>
  <dc:language>ru-RU</dc:language>
  <cp:lastModifiedBy/>
  <cp:lastPrinted>2011-07-27T10:09:00Z</cp:lastPrinted>
  <dcterms:modified xsi:type="dcterms:W3CDTF">2018-10-24T12:00:56Z</dcterms:modified>
  <cp:revision>47</cp:revision>
  <dc:subject/>
  <dc:title>Договор № _______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List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