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2709FA" w:rsidP="002709F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 ДОЛЖНИКА</w:t>
            </w:r>
            <w:r w:rsidR="00CB529A" w:rsidRPr="00CB529A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(дата </w:t>
            </w:r>
            <w:proofErr w:type="gramStart"/>
            <w:r w:rsidR="00CB529A" w:rsidRPr="00CB529A">
              <w:rPr>
                <w:rFonts w:ascii="Times New Roman" w:hAnsi="Times New Roman"/>
                <w:sz w:val="20"/>
              </w:rPr>
              <w:t>рождения:</w:t>
            </w:r>
            <w:r>
              <w:rPr>
                <w:rFonts w:ascii="Times New Roman" w:hAnsi="Times New Roman"/>
                <w:sz w:val="20"/>
              </w:rPr>
              <w:t>_</w:t>
            </w:r>
            <w:proofErr w:type="gramEnd"/>
            <w:r>
              <w:rPr>
                <w:rFonts w:ascii="Times New Roman" w:hAnsi="Times New Roman"/>
                <w:sz w:val="20"/>
              </w:rPr>
              <w:t>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 , место рождения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:, СНИЛС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ИНН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адрес регистрации по месту жительства: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CB529A">
              <w:rPr>
                <w:rFonts w:ascii="Times New Roman" w:hAnsi="Times New Roman"/>
                <w:sz w:val="20"/>
              </w:rPr>
              <w:t>паспорт _____ выдан _____дата выдачи_____, код подразделения _____,)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в лице Финансового управляющего Левашова Артема Михайловича (ИНН 332908886610, СНИЛС 113-211-200-65, рег. номер. 17781)  член САУ "СРО "ДЕЛО" (ОГРН 1035002205919, ИНН 5010029544,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юр.адрес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: 141307, Московская область,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г.о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. Сергиево-Посадский, г. Сергиев Посад, ул. Гефсиманские пруды, д.4) действующего на основании 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8F520E">
              <w:rPr>
                <w:rFonts w:ascii="Times New Roman" w:hAnsi="Times New Roman"/>
                <w:sz w:val="20"/>
              </w:rPr>
              <w:t>Положения о прядке, сроках и условиях продажи имущества</w:t>
            </w:r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CB529A">
            <w:pPr>
              <w:numPr>
                <w:ilvl w:val="1"/>
                <w:numId w:val="6"/>
              </w:numPr>
              <w:shd w:val="clear" w:color="auto" w:fill="FFFFFF"/>
              <w:spacing w:after="0" w:line="240" w:lineRule="auto"/>
              <w:ind w:left="0" w:right="142" w:firstLine="853"/>
              <w:jc w:val="both"/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</w:pPr>
            <w:r w:rsidRPr="005A2B07">
              <w:rPr>
                <w:rFonts w:ascii="Times New Roman" w:hAnsi="Times New Roman"/>
              </w:rPr>
              <w:t xml:space="preserve">В соответствии с результатами электронных открытых торгов с </w:t>
            </w:r>
            <w:r>
              <w:rPr>
                <w:rFonts w:ascii="Times New Roman" w:hAnsi="Times New Roman"/>
              </w:rPr>
              <w:t>открытой</w:t>
            </w:r>
            <w:r w:rsidRPr="005A2B07">
              <w:rPr>
                <w:rFonts w:ascii="Times New Roman" w:hAnsi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/>
              </w:rPr>
              <w:t>и</w:t>
            </w:r>
            <w:r w:rsidRPr="005A2B07">
              <w:rPr>
                <w:rFonts w:ascii="Times New Roman" w:hAnsi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8F520E">
              <w:rPr>
                <w:rFonts w:ascii="Times New Roman" w:hAnsi="Times New Roman"/>
                <w:b/>
              </w:rPr>
              <w:t>_____</w:t>
            </w:r>
            <w:r>
              <w:rPr>
                <w:rFonts w:ascii="Times New Roman" w:hAnsi="Times New Roman"/>
              </w:rPr>
              <w:t xml:space="preserve"> </w:t>
            </w:r>
            <w:r w:rsidRPr="005A2B07">
              <w:rPr>
                <w:rFonts w:ascii="Times New Roman" w:hAnsi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2709FA"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  <w:t>___________</w:t>
            </w:r>
          </w:p>
          <w:p w:rsidR="00CB529A" w:rsidRPr="005A2B07" w:rsidRDefault="00CB529A" w:rsidP="00CB529A">
            <w:pPr>
              <w:shd w:val="clear" w:color="auto" w:fill="FFFFFF"/>
              <w:spacing w:after="0" w:line="240" w:lineRule="auto"/>
              <w:ind w:left="689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правопритязаниями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непоступление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указанные в </w:t>
            </w:r>
            <w:proofErr w:type="spellStart"/>
            <w:r w:rsidRPr="005A2B07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5A2B07">
              <w:rPr>
                <w:rFonts w:ascii="Times New Roman" w:hAnsi="Times New Roman"/>
                <w:sz w:val="20"/>
                <w:szCs w:val="20"/>
              </w:rPr>
              <w:t xml:space="preserve"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lastRenderedPageBreak/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</w:t>
            </w:r>
            <w:proofErr w:type="spellStart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неурегулировании</w:t>
            </w:r>
            <w:proofErr w:type="spellEnd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494445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1281430" cy="70231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2709F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Финансовый управляющий 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Банк получателя: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БИК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КПП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4B37F9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ИНН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к/с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2709FA" w:rsidRPr="006D40BA" w:rsidRDefault="002709FA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р/с________________________</w:t>
                  </w:r>
                </w:p>
                <w:p w:rsidR="00CB529A" w:rsidRDefault="00D254E4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="00CB529A" w:rsidRPr="00CB529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Получатель: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_________</w:t>
                  </w:r>
                </w:p>
                <w:p w:rsidR="002709FA" w:rsidRDefault="002709FA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125BEC" w:rsidRPr="00125BEC" w:rsidRDefault="004B37F9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B86397"/>
    <w:multiLevelType w:val="multilevel"/>
    <w:tmpl w:val="13609412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  <w:b w:val="0"/>
        <w:color w:val="auto"/>
        <w:sz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D3938"/>
    <w:rsid w:val="00115256"/>
    <w:rsid w:val="00125BEC"/>
    <w:rsid w:val="00192EDC"/>
    <w:rsid w:val="00267145"/>
    <w:rsid w:val="002709FA"/>
    <w:rsid w:val="003B6F51"/>
    <w:rsid w:val="00494445"/>
    <w:rsid w:val="004B37F9"/>
    <w:rsid w:val="00531DB7"/>
    <w:rsid w:val="006F2176"/>
    <w:rsid w:val="00721EF8"/>
    <w:rsid w:val="007B3A53"/>
    <w:rsid w:val="008F520E"/>
    <w:rsid w:val="00A64EFB"/>
    <w:rsid w:val="00AB061B"/>
    <w:rsid w:val="00CA5682"/>
    <w:rsid w:val="00CB529A"/>
    <w:rsid w:val="00D254E4"/>
    <w:rsid w:val="00E63105"/>
    <w:rsid w:val="00EB0D63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017E"/>
  <w15:docId w15:val="{8CC176C5-7F94-4552-A1F9-1B876DE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2026-04-10T11:33:00Z</dcterms:created>
  <dcterms:modified xsi:type="dcterms:W3CDTF">2026-04-10T11:33:00Z</dcterms:modified>
</cp:coreProperties>
</file>