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3791343F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3804F9">
              <w:rPr>
                <w:rFonts w:ascii="Times New Roman" w:hAnsi="Times New Roman"/>
                <w:sz w:val="24"/>
                <w:lang w:val="ru-RU"/>
              </w:rPr>
              <w:t>2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73A80EAA" w14:textId="6FEE1F61" w:rsidR="00C41F9C" w:rsidRDefault="00936EA4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_______________________________________________________________________</w:t>
      </w:r>
    </w:p>
    <w:p w14:paraId="6F28C338" w14:textId="11478C5E" w:rsidR="00372A62" w:rsidRPr="00372A62" w:rsidRDefault="00372A62" w:rsidP="00C41F9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Имущество не находится в залоге и не обременено иными правами третьих лиц.</w:t>
      </w:r>
    </w:p>
    <w:p w14:paraId="51298F5B" w14:textId="36E697B1" w:rsidR="007A0A28" w:rsidRPr="003804F9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100285F8" w14:textId="55EB2E2A" w:rsidR="002A0E29" w:rsidRPr="00C41F9C" w:rsidRDefault="002A0E29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4954D5" w:rsidRPr="003804F9">
        <w:rPr>
          <w:sz w:val="24"/>
          <w:szCs w:val="22"/>
        </w:rPr>
        <w:t>5</w:t>
      </w:r>
      <w:r w:rsidRPr="003804F9">
        <w:rPr>
          <w:sz w:val="24"/>
          <w:szCs w:val="22"/>
        </w:rPr>
        <w:t xml:space="preserve"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</w:t>
      </w:r>
      <w:r w:rsidRPr="00C41F9C">
        <w:rPr>
          <w:sz w:val="24"/>
          <w:szCs w:val="22"/>
        </w:rPr>
        <w:t>относятся на Покупателя.</w:t>
      </w:r>
    </w:p>
    <w:p w14:paraId="614647CF" w14:textId="74B9C738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C41F9C">
        <w:rPr>
          <w:sz w:val="24"/>
          <w:szCs w:val="22"/>
        </w:rPr>
        <w:t>1.7.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C41F9C">
        <w:rPr>
          <w:sz w:val="24"/>
          <w:szCs w:val="22"/>
        </w:rPr>
        <w:t>ется</w:t>
      </w:r>
      <w:proofErr w:type="spellEnd"/>
      <w:r w:rsidRPr="00C41F9C">
        <w:rPr>
          <w:sz w:val="24"/>
          <w:szCs w:val="22"/>
        </w:rPr>
        <w:t>) указанные(</w:t>
      </w:r>
      <w:proofErr w:type="spellStart"/>
      <w:r w:rsidRPr="00C41F9C">
        <w:rPr>
          <w:sz w:val="24"/>
          <w:szCs w:val="22"/>
        </w:rPr>
        <w:t>ое</w:t>
      </w:r>
      <w:proofErr w:type="spellEnd"/>
      <w:r w:rsidRPr="00C41F9C">
        <w:rPr>
          <w:sz w:val="24"/>
          <w:szCs w:val="22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_____________________________</w:t>
      </w:r>
      <w:r w:rsidRPr="007A622C">
        <w:rPr>
          <w:rFonts w:ascii="Times New Roman" w:hAnsi="Times New Roman"/>
          <w:noProof/>
          <w:sz w:val="24"/>
          <w:szCs w:val="22"/>
        </w:rPr>
        <w:t>(НДС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t>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t xml:space="preserve"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</w:t>
      </w:r>
      <w:r w:rsidRPr="00425905">
        <w:rPr>
          <w:rFonts w:ascii="Times New Roman" w:hAnsi="Times New Roman"/>
          <w:sz w:val="24"/>
          <w:lang w:val="ru-RU"/>
        </w:rPr>
        <w:lastRenderedPageBreak/>
        <w:t>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средств в размере,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>В случае нарушения Покупателем сроков перечисления платежа Продавец вправе отказаться от исполнения Договора в одностороннем порядке, при этом задаток 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E82E08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 xml:space="preserve">, и должно </w:t>
      </w:r>
      <w:r w:rsidRPr="00E82E08">
        <w:rPr>
          <w:sz w:val="24"/>
          <w:szCs w:val="22"/>
        </w:rPr>
        <w:lastRenderedPageBreak/>
        <w:t>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E82E08">
              <w:rPr>
                <w:rFonts w:ascii="Times New Roman" w:hAnsi="Times New Roman"/>
                <w:b/>
                <w:szCs w:val="20"/>
                <w:lang w:val="ru-RU"/>
              </w:rPr>
              <w:t>АО СК «Росстрой»</w:t>
            </w:r>
          </w:p>
          <w:p w14:paraId="377C9BA4" w14:textId="77777777" w:rsidR="00C41F9C" w:rsidRDefault="00286A05" w:rsidP="00E057CE">
            <w:pPr>
              <w:spacing w:after="0" w:line="240" w:lineRule="auto"/>
              <w:rPr>
                <w:rFonts w:ascii="Times New Roman" w:hAnsi="Times New Roman"/>
                <w:szCs w:val="20"/>
                <w:lang w:val="ru-RU"/>
              </w:rPr>
            </w:pPr>
            <w:r w:rsidRPr="00E82E08">
              <w:rPr>
                <w:rFonts w:ascii="Times New Roman" w:hAnsi="Times New Roman"/>
                <w:szCs w:val="20"/>
                <w:lang w:val="ru-RU"/>
              </w:rPr>
              <w:t>ИНН 7736229064</w:t>
            </w:r>
          </w:p>
          <w:p w14:paraId="7E8436C8" w14:textId="3822BDD3" w:rsidR="003A0353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szCs w:val="20"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szCs w:val="20"/>
                <w:lang w:val="ru-RU"/>
              </w:rPr>
              <w:t>ОГРН 1037736001456</w:t>
            </w:r>
            <w:r w:rsidR="003A0353" w:rsidRPr="00E82E08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</w:p>
          <w:p w14:paraId="20618C94" w14:textId="1D6F2DC3" w:rsidR="00E32815" w:rsidRDefault="00C41F9C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р/с</w:t>
            </w:r>
            <w:r w:rsidR="00E32815" w:rsidRPr="00E32815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Pr="00C41F9C">
              <w:rPr>
                <w:rFonts w:ascii="Times New Roman" w:hAnsi="Times New Roman"/>
                <w:szCs w:val="20"/>
                <w:lang w:val="ru-RU"/>
              </w:rPr>
              <w:t xml:space="preserve">№ </w:t>
            </w:r>
            <w:r w:rsidR="00936EA4" w:rsidRPr="00936EA4">
              <w:rPr>
                <w:rFonts w:ascii="Times New Roman" w:hAnsi="Times New Roman"/>
                <w:szCs w:val="20"/>
                <w:lang w:val="ru-RU"/>
              </w:rPr>
              <w:t>40702810812030909027 в Филиале "Корпоративный" ПАО "</w:t>
            </w:r>
            <w:proofErr w:type="spellStart"/>
            <w:r w:rsidR="00936EA4" w:rsidRPr="00936EA4">
              <w:rPr>
                <w:rFonts w:ascii="Times New Roman" w:hAnsi="Times New Roman"/>
                <w:szCs w:val="20"/>
                <w:lang w:val="ru-RU"/>
              </w:rPr>
              <w:t>Совкомбанк</w:t>
            </w:r>
            <w:proofErr w:type="spellEnd"/>
            <w:r w:rsidR="00936EA4" w:rsidRPr="00936EA4">
              <w:rPr>
                <w:rFonts w:ascii="Times New Roman" w:hAnsi="Times New Roman"/>
                <w:szCs w:val="20"/>
                <w:lang w:val="ru-RU"/>
              </w:rPr>
              <w:t>" (г. Москва), к/с 30101810445250000360, БИК 044525360</w:t>
            </w:r>
            <w:r w:rsidR="00936EA4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</w:p>
          <w:p w14:paraId="0B8D6901" w14:textId="77777777" w:rsidR="00E32815" w:rsidRPr="003804F9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76099091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Конкурсный управляющий</w:t>
            </w:r>
          </w:p>
          <w:p w14:paraId="67FC125E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353137">
            <w:pPr>
              <w:spacing w:after="0" w:line="240" w:lineRule="auto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___________________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.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 xml:space="preserve">. 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Власо</w:t>
            </w:r>
            <w:r w:rsidR="002D41F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630F39F" w14:textId="2EFEFF3E" w:rsidR="00DA2022" w:rsidRPr="00D61AAB" w:rsidRDefault="00DA2022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bookmarkStart w:id="0" w:name="_GoBack"/>
            <w:bookmarkEnd w:id="0"/>
          </w:p>
          <w:p w14:paraId="33B5B7D3" w14:textId="77777777" w:rsidR="0039584C" w:rsidRPr="00D61AAB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26A1462" w14:textId="1ADA7C13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______________/______________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131B9"/>
    <w:rsid w:val="00014969"/>
    <w:rsid w:val="00057BBD"/>
    <w:rsid w:val="00091B22"/>
    <w:rsid w:val="000E63C6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E5FDB"/>
    <w:rsid w:val="004F4537"/>
    <w:rsid w:val="00501301"/>
    <w:rsid w:val="005320A9"/>
    <w:rsid w:val="00534100"/>
    <w:rsid w:val="005514C0"/>
    <w:rsid w:val="00563C3F"/>
    <w:rsid w:val="005E7E71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9633E"/>
    <w:rsid w:val="008B56B0"/>
    <w:rsid w:val="00936EA4"/>
    <w:rsid w:val="00942946"/>
    <w:rsid w:val="0095520D"/>
    <w:rsid w:val="0097247E"/>
    <w:rsid w:val="00986566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41F9C"/>
    <w:rsid w:val="00CD100C"/>
    <w:rsid w:val="00D252DF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2FB8"/>
    <w:rsid w:val="00E82E08"/>
    <w:rsid w:val="00EC0003"/>
    <w:rsid w:val="00ED040E"/>
    <w:rsid w:val="00ED55E7"/>
    <w:rsid w:val="00F355D2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  <w15:docId w15:val="{5FD3E48B-80BD-42FE-8BC7-67D8DB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u10142</cp:lastModifiedBy>
  <cp:revision>2</cp:revision>
  <dcterms:created xsi:type="dcterms:W3CDTF">2023-10-12T09:34:00Z</dcterms:created>
  <dcterms:modified xsi:type="dcterms:W3CDTF">2023-10-12T09:34:00Z</dcterms:modified>
</cp:coreProperties>
</file>