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C973" w14:textId="77777777" w:rsidR="00017B96" w:rsidRPr="00BA011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ab/>
        <w:t>ПРОЕКТ</w:t>
      </w:r>
    </w:p>
    <w:p w14:paraId="1F580291" w14:textId="77777777" w:rsidR="00B30BAF" w:rsidRPr="00BA011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A011C">
        <w:rPr>
          <w:rFonts w:ascii="Times New Roman" w:hAnsi="Times New Roman" w:cs="Times New Roman"/>
          <w:b w:val="0"/>
          <w:sz w:val="22"/>
          <w:szCs w:val="22"/>
        </w:rPr>
        <w:t xml:space="preserve">ДОГОВОР № </w:t>
      </w:r>
      <w:r w:rsidR="005220D5" w:rsidRPr="00BA011C">
        <w:rPr>
          <w:rFonts w:ascii="Times New Roman" w:hAnsi="Times New Roman" w:cs="Times New Roman"/>
          <w:b w:val="0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02C0EEB3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E91A2F">
        <w:rPr>
          <w:sz w:val="22"/>
          <w:szCs w:val="22"/>
        </w:rPr>
        <w:t>__________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proofErr w:type="gramStart"/>
      <w:r w:rsidR="00E91A2F">
        <w:rPr>
          <w:sz w:val="22"/>
          <w:szCs w:val="22"/>
        </w:rPr>
        <w:t xml:space="preserve">   </w:t>
      </w:r>
      <w:r w:rsidR="005220D5" w:rsidRPr="00F017CC">
        <w:rPr>
          <w:sz w:val="22"/>
          <w:szCs w:val="22"/>
        </w:rPr>
        <w:t>«</w:t>
      </w:r>
      <w:proofErr w:type="gramEnd"/>
      <w:r w:rsidR="005220D5" w:rsidRPr="00F017CC">
        <w:rPr>
          <w:sz w:val="22"/>
          <w:szCs w:val="22"/>
        </w:rPr>
        <w:t>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B7003A">
        <w:rPr>
          <w:sz w:val="22"/>
          <w:szCs w:val="22"/>
        </w:rPr>
        <w:t>2</w:t>
      </w:r>
      <w:r w:rsidR="00010146">
        <w:rPr>
          <w:sz w:val="22"/>
          <w:szCs w:val="22"/>
        </w:rPr>
        <w:t>3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5AC86F23" w:rsidR="0056420A" w:rsidRPr="00F017CC" w:rsidRDefault="00BA011C" w:rsidP="00524C0D">
      <w:pPr>
        <w:widowControl w:val="0"/>
        <w:ind w:firstLine="709"/>
        <w:jc w:val="both"/>
        <w:rPr>
          <w:sz w:val="22"/>
          <w:szCs w:val="22"/>
        </w:rPr>
      </w:pPr>
      <w:r w:rsidRPr="00BA011C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BA011C">
        <w:rPr>
          <w:sz w:val="22"/>
          <w:szCs w:val="22"/>
        </w:rPr>
        <w:t xml:space="preserve">(сокращенное наименование – НАО «МЕРКУРИЙ АПК «ПРОХЛАДНЕНСКИЙ»), в лице конкурсного управляющего Османовой Венеры </w:t>
      </w:r>
      <w:proofErr w:type="spellStart"/>
      <w:r w:rsidRPr="00BA011C">
        <w:rPr>
          <w:sz w:val="22"/>
          <w:szCs w:val="22"/>
        </w:rPr>
        <w:t>Тельмановны</w:t>
      </w:r>
      <w:proofErr w:type="spellEnd"/>
      <w:r w:rsidRPr="00BA011C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</w:t>
      </w:r>
      <w:r w:rsidR="00D24241">
        <w:rPr>
          <w:sz w:val="22"/>
          <w:szCs w:val="22"/>
        </w:rPr>
        <w:t>а</w:t>
      </w:r>
      <w:r w:rsidRPr="00BA011C">
        <w:rPr>
          <w:sz w:val="22"/>
          <w:szCs w:val="22"/>
        </w:rPr>
        <w:t xml:space="preserve"> </w:t>
      </w:r>
      <w:r w:rsidR="00E92AE0" w:rsidRPr="00E92AE0">
        <w:rPr>
          <w:sz w:val="22"/>
          <w:szCs w:val="22"/>
        </w:rPr>
        <w:t>член Союз</w:t>
      </w:r>
      <w:r w:rsidR="00E92AE0">
        <w:rPr>
          <w:sz w:val="22"/>
          <w:szCs w:val="22"/>
        </w:rPr>
        <w:t>а</w:t>
      </w:r>
      <w:r w:rsidR="00E92AE0" w:rsidRPr="00E92AE0">
        <w:rPr>
          <w:sz w:val="22"/>
          <w:szCs w:val="22"/>
        </w:rPr>
        <w:t xml:space="preserve"> АУ НЦРБ (ОГРН 1027806876173, ИНН 7813175754; 123056, г. Москва, </w:t>
      </w:r>
      <w:proofErr w:type="spellStart"/>
      <w:r w:rsidR="00E92AE0" w:rsidRPr="00E92AE0">
        <w:rPr>
          <w:sz w:val="22"/>
          <w:szCs w:val="22"/>
        </w:rPr>
        <w:t>вн.тер.г</w:t>
      </w:r>
      <w:proofErr w:type="spellEnd"/>
      <w:r w:rsidR="00E92AE0" w:rsidRPr="00E92AE0">
        <w:rPr>
          <w:sz w:val="22"/>
          <w:szCs w:val="22"/>
        </w:rPr>
        <w:t xml:space="preserve">. </w:t>
      </w:r>
      <w:proofErr w:type="spellStart"/>
      <w:r w:rsidR="00E92AE0" w:rsidRPr="00E92AE0">
        <w:rPr>
          <w:sz w:val="22"/>
          <w:szCs w:val="22"/>
        </w:rPr>
        <w:t>м.о</w:t>
      </w:r>
      <w:proofErr w:type="spellEnd"/>
      <w:r w:rsidR="00E92AE0" w:rsidRPr="00E92AE0">
        <w:rPr>
          <w:sz w:val="22"/>
          <w:szCs w:val="22"/>
        </w:rPr>
        <w:t>. Пресненский, ул. Большая Грузинская, д. 61, стр. 2, пом. 19/9</w:t>
      </w:r>
      <w:r w:rsidRPr="00BA011C">
        <w:rPr>
          <w:sz w:val="22"/>
          <w:szCs w:val="22"/>
        </w:rPr>
        <w:t>), действующего на основании определения</w:t>
      </w:r>
      <w:r w:rsidR="00490D50">
        <w:rPr>
          <w:sz w:val="22"/>
          <w:szCs w:val="22"/>
        </w:rPr>
        <w:t xml:space="preserve"> </w:t>
      </w:r>
      <w:r w:rsidRPr="00BA011C">
        <w:rPr>
          <w:sz w:val="22"/>
          <w:szCs w:val="22"/>
        </w:rPr>
        <w:t>Арбитражного суда Карачаево-Черкесской Республики по делу №А25-1544/2019 от 20.08.2020 г. (резолютивная часть оглашена 13.08.2020 г.),</w:t>
      </w:r>
      <w:r w:rsidRPr="00BA011C">
        <w:rPr>
          <w:b/>
          <w:sz w:val="22"/>
          <w:szCs w:val="22"/>
        </w:rPr>
        <w:t xml:space="preserve"> </w:t>
      </w:r>
      <w:r w:rsidR="00836196" w:rsidRPr="00F017CC">
        <w:rPr>
          <w:sz w:val="22"/>
          <w:szCs w:val="22"/>
        </w:rPr>
        <w:t xml:space="preserve">именуемый в дальнейшем «Цедент», </w:t>
      </w:r>
      <w:r w:rsidR="007B5FA7" w:rsidRPr="00F017CC">
        <w:rPr>
          <w:sz w:val="22"/>
          <w:szCs w:val="22"/>
        </w:rPr>
        <w:t xml:space="preserve">с одной стороны,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2B2D5A24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оту №</w:t>
      </w:r>
      <w:r w:rsidR="00D24241">
        <w:rPr>
          <w:rFonts w:ascii="Times New Roman" w:hAnsi="Times New Roman" w:cs="Times New Roman"/>
          <w:sz w:val="22"/>
          <w:szCs w:val="22"/>
        </w:rPr>
        <w:t>1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E91A2F">
        <w:rPr>
          <w:rFonts w:ascii="Times New Roman" w:hAnsi="Times New Roman" w:cs="Times New Roman"/>
          <w:sz w:val="22"/>
          <w:szCs w:val="22"/>
        </w:rPr>
        <w:t xml:space="preserve">, </w:t>
      </w:r>
      <w:r w:rsidR="00E91A2F" w:rsidRPr="00E91A2F">
        <w:rPr>
          <w:rFonts w:ascii="Times New Roman" w:hAnsi="Times New Roman" w:cs="Times New Roman"/>
          <w:sz w:val="22"/>
          <w:szCs w:val="22"/>
        </w:rPr>
        <w:t>в газете «</w:t>
      </w:r>
      <w:r w:rsidR="00C900D4">
        <w:rPr>
          <w:rFonts w:ascii="Times New Roman" w:hAnsi="Times New Roman" w:cs="Times New Roman"/>
          <w:sz w:val="22"/>
          <w:szCs w:val="22"/>
        </w:rPr>
        <w:t>День Республики</w:t>
      </w:r>
      <w:r w:rsidR="00E91A2F" w:rsidRPr="00E91A2F">
        <w:rPr>
          <w:rFonts w:ascii="Times New Roman" w:hAnsi="Times New Roman" w:cs="Times New Roman"/>
          <w:sz w:val="22"/>
          <w:szCs w:val="22"/>
        </w:rPr>
        <w:t>»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2D1DE40A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r w:rsidR="00007731" w:rsidRPr="00F017CC">
        <w:rPr>
          <w:rFonts w:ascii="Times New Roman" w:hAnsi="Times New Roman" w:cs="Times New Roman"/>
          <w:sz w:val="22"/>
          <w:szCs w:val="22"/>
        </w:rPr>
        <w:t>Ру-Трейд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D24241">
        <w:rPr>
          <w:rFonts w:ascii="Times New Roman" w:hAnsi="Times New Roman" w:cs="Times New Roman"/>
          <w:sz w:val="22"/>
          <w:szCs w:val="22"/>
        </w:rPr>
        <w:t>1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40E8D635" w:rsidR="00B30BAF" w:rsidRDefault="00BA011C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A011C">
        <w:rPr>
          <w:rFonts w:ascii="Times New Roman" w:hAnsi="Times New Roman" w:cs="Times New Roman"/>
          <w:sz w:val="22"/>
          <w:szCs w:val="22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Карачаево-Черкесской Республики</w:t>
      </w:r>
      <w:r w:rsidR="00B30BAF"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 должны направляться в письменной форме. Сообщения будут считаться исполненными надлежащим образом, если они посланы </w:t>
      </w:r>
      <w:r w:rsidRPr="00B0701B">
        <w:rPr>
          <w:rFonts w:ascii="Times New Roman" w:hAnsi="Times New Roman" w:cs="Times New Roman"/>
          <w:sz w:val="22"/>
          <w:szCs w:val="22"/>
        </w:rPr>
        <w:lastRenderedPageBreak/>
        <w:t>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19B5D3D0" w:rsidR="00B30BAF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070" w:type="dxa"/>
        <w:tblInd w:w="-5" w:type="dxa"/>
        <w:tblLook w:val="04A0" w:firstRow="1" w:lastRow="0" w:firstColumn="1" w:lastColumn="0" w:noHBand="0" w:noVBand="1"/>
      </w:tblPr>
      <w:tblGrid>
        <w:gridCol w:w="5108"/>
        <w:gridCol w:w="4962"/>
      </w:tblGrid>
      <w:tr w:rsidR="00BA011C" w:rsidRPr="00B045CE" w14:paraId="41F29B54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F4208D7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5A155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BA011C" w:rsidRPr="00B045CE" w14:paraId="44D9F486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133DB9BD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0B416E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06C96A85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587C9A18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ИНН 0716009653 КПП 091701001</w:t>
            </w:r>
          </w:p>
          <w:p w14:paraId="3F307AD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ОГРН 1130107000540</w:t>
            </w:r>
          </w:p>
          <w:p w14:paraId="41E44D36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B7003A">
              <w:rPr>
                <w:bCs/>
                <w:sz w:val="22"/>
                <w:szCs w:val="22"/>
              </w:rPr>
              <w:t>каб</w:t>
            </w:r>
            <w:proofErr w:type="spellEnd"/>
            <w:r w:rsidRPr="00B7003A">
              <w:rPr>
                <w:bCs/>
                <w:sz w:val="22"/>
                <w:szCs w:val="22"/>
              </w:rPr>
              <w:t>. 1</w:t>
            </w:r>
          </w:p>
          <w:p w14:paraId="6E72EDA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4A14F69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Реквизиты:</w:t>
            </w:r>
          </w:p>
          <w:p w14:paraId="2145CD1D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 xml:space="preserve">В ПАО Сбербанк </w:t>
            </w:r>
          </w:p>
          <w:p w14:paraId="0DDA907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14E561FA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БИК 040702615</w:t>
            </w:r>
          </w:p>
          <w:p w14:paraId="3EEC7C80" w14:textId="77777777" w:rsidR="00B7003A" w:rsidRPr="00B7003A" w:rsidRDefault="00B7003A" w:rsidP="00B7003A">
            <w:pPr>
              <w:rPr>
                <w:bCs/>
                <w:sz w:val="22"/>
                <w:szCs w:val="22"/>
              </w:rPr>
            </w:pPr>
            <w:proofErr w:type="spellStart"/>
            <w:r w:rsidRPr="00B7003A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B7003A">
              <w:rPr>
                <w:bCs/>
                <w:sz w:val="22"/>
                <w:szCs w:val="22"/>
              </w:rPr>
              <w:t>: 30101810907020000615</w:t>
            </w:r>
          </w:p>
          <w:p w14:paraId="6BAAB1B5" w14:textId="353E7601" w:rsidR="00BA011C" w:rsidRPr="007458D9" w:rsidRDefault="00B7003A" w:rsidP="00B7003A">
            <w:pPr>
              <w:rPr>
                <w:bCs/>
                <w:sz w:val="22"/>
                <w:szCs w:val="22"/>
              </w:rPr>
            </w:pPr>
            <w:r w:rsidRPr="00B7003A">
              <w:rPr>
                <w:bCs/>
                <w:sz w:val="22"/>
                <w:szCs w:val="22"/>
              </w:rPr>
              <w:t>р/с 40702810860310002006 (основной счет)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70571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011C" w:rsidRPr="00B045CE" w14:paraId="6AC32A5F" w14:textId="77777777" w:rsidTr="00BA011C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8081208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68A8B311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  <w:r w:rsidRPr="00B045CE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2AEA7E40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00FA2662" w14:textId="77777777" w:rsidR="00BA011C" w:rsidRPr="00B045CE" w:rsidRDefault="00BA011C" w:rsidP="009368FC">
            <w:pPr>
              <w:rPr>
                <w:b/>
                <w:bCs/>
                <w:sz w:val="22"/>
                <w:szCs w:val="22"/>
              </w:rPr>
            </w:pPr>
          </w:p>
          <w:p w14:paraId="179F3BDF" w14:textId="77777777" w:rsidR="00BA011C" w:rsidRPr="00B045CE" w:rsidRDefault="00BA011C" w:rsidP="009368FC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>/В.Т. Османова/</w:t>
            </w:r>
          </w:p>
          <w:p w14:paraId="52C88B51" w14:textId="77777777" w:rsidR="00BA011C" w:rsidRPr="00B045CE" w:rsidRDefault="00BA011C" w:rsidP="009368FC">
            <w:pPr>
              <w:rPr>
                <w:bCs/>
                <w:sz w:val="22"/>
                <w:szCs w:val="22"/>
              </w:rPr>
            </w:pPr>
            <w:r w:rsidRPr="00B045CE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2957555" w14:textId="77777777" w:rsidR="00BA011C" w:rsidRPr="00B045CE" w:rsidRDefault="00BA011C" w:rsidP="00936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2F434A61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</w:t>
      </w:r>
      <w:r w:rsidR="00B7003A">
        <w:rPr>
          <w:sz w:val="22"/>
          <w:szCs w:val="22"/>
        </w:rPr>
        <w:t>22</w:t>
      </w:r>
      <w:r w:rsidRPr="00F017CC">
        <w:rPr>
          <w:sz w:val="22"/>
          <w:szCs w:val="22"/>
        </w:rPr>
        <w:t xml:space="preserve">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430929260">
    <w:abstractNumId w:val="1"/>
  </w:num>
  <w:num w:numId="2" w16cid:durableId="1508054640">
    <w:abstractNumId w:val="2"/>
  </w:num>
  <w:num w:numId="3" w16cid:durableId="1645431132">
    <w:abstractNumId w:val="0"/>
  </w:num>
  <w:num w:numId="4" w16cid:durableId="100408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0146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0D50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3EF7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8D9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003A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011C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0D4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4241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1A2F"/>
    <w:rsid w:val="00E92AE0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Петухов Артем Александрович</cp:lastModifiedBy>
  <cp:revision>2</cp:revision>
  <cp:lastPrinted>2021-08-10T13:51:00Z</cp:lastPrinted>
  <dcterms:created xsi:type="dcterms:W3CDTF">2023-08-08T14:27:00Z</dcterms:created>
  <dcterms:modified xsi:type="dcterms:W3CDTF">2023-08-08T14:27:00Z</dcterms:modified>
</cp:coreProperties>
</file>