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467DEA9C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D04FFC">
              <w:rPr>
                <w:rFonts w:ascii="Times New Roman" w:hAnsi="Times New Roman"/>
                <w:sz w:val="24"/>
                <w:lang w:val="ru-RU"/>
              </w:rPr>
              <w:t>3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69639AF5" w14:textId="7F06B75D" w:rsidR="00372A62" w:rsidRDefault="00D04FF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6F28C338" w14:textId="4CE1096C" w:rsidR="00372A62" w:rsidRPr="00372A62" w:rsidRDefault="00372A62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55EB2E2A" w:rsidR="002A0E29" w:rsidRPr="003804F9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4954D5" w:rsidRPr="003804F9">
        <w:rPr>
          <w:sz w:val="24"/>
          <w:szCs w:val="22"/>
        </w:rPr>
        <w:t>5</w:t>
      </w:r>
      <w:r w:rsidRPr="003804F9">
        <w:rPr>
          <w:sz w:val="24"/>
          <w:szCs w:val="22"/>
        </w:rPr>
        <w:t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относятся на Покупателя.</w:t>
      </w:r>
    </w:p>
    <w:p w14:paraId="614647CF" w14:textId="74B9C738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A75D6A">
        <w:rPr>
          <w:sz w:val="24"/>
          <w:szCs w:val="22"/>
          <w:highlight w:val="yellow"/>
        </w:rPr>
        <w:t>1.7.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A75D6A">
        <w:rPr>
          <w:sz w:val="24"/>
          <w:szCs w:val="22"/>
          <w:highlight w:val="yellow"/>
        </w:rPr>
        <w:t>ется</w:t>
      </w:r>
      <w:proofErr w:type="spellEnd"/>
      <w:r w:rsidRPr="00A75D6A">
        <w:rPr>
          <w:sz w:val="24"/>
          <w:szCs w:val="22"/>
          <w:highlight w:val="yellow"/>
        </w:rPr>
        <w:t>) указанные(</w:t>
      </w:r>
      <w:proofErr w:type="spellStart"/>
      <w:r w:rsidRPr="00A75D6A">
        <w:rPr>
          <w:sz w:val="24"/>
          <w:szCs w:val="22"/>
          <w:highlight w:val="yellow"/>
        </w:rPr>
        <w:t>ое</w:t>
      </w:r>
      <w:proofErr w:type="spellEnd"/>
      <w:r w:rsidRPr="00A75D6A">
        <w:rPr>
          <w:sz w:val="24"/>
          <w:szCs w:val="22"/>
          <w:highlight w:val="yellow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</w:t>
      </w:r>
      <w:proofErr w:type="gramStart"/>
      <w:r w:rsidRPr="007A622C">
        <w:rPr>
          <w:rStyle w:val="1"/>
          <w:rFonts w:ascii="Times New Roman" w:hAnsi="Times New Roman"/>
          <w:b/>
          <w:sz w:val="24"/>
          <w:szCs w:val="22"/>
        </w:rPr>
        <w:t>_</w:t>
      </w:r>
      <w:r w:rsidRPr="007A622C">
        <w:rPr>
          <w:rFonts w:ascii="Times New Roman" w:hAnsi="Times New Roman"/>
          <w:noProof/>
          <w:sz w:val="24"/>
          <w:szCs w:val="22"/>
        </w:rPr>
        <w:t>(</w:t>
      </w:r>
      <w:proofErr w:type="gramEnd"/>
      <w:r w:rsidRPr="007A622C">
        <w:rPr>
          <w:rFonts w:ascii="Times New Roman" w:hAnsi="Times New Roman"/>
          <w:noProof/>
          <w:sz w:val="24"/>
          <w:szCs w:val="22"/>
        </w:rPr>
        <w:t>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 xml:space="preserve">С учетом пунктов 2.1, 2.2 настоящего Договора денежная сумма, подлежащая </w:t>
      </w:r>
      <w:r w:rsidRPr="00425905">
        <w:rPr>
          <w:rFonts w:ascii="Times New Roman" w:hAnsi="Times New Roman"/>
          <w:sz w:val="24"/>
          <w:lang w:val="ru-RU"/>
        </w:rPr>
        <w:lastRenderedPageBreak/>
        <w:t>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 xml:space="preserve">В случае нарушения Покупателем сроков перечисления платежа Продавец вправе отказаться от исполнения Договора в одностороннем порядке, при этом </w:t>
      </w:r>
      <w:proofErr w:type="gramStart"/>
      <w:r w:rsidRPr="00E82E08">
        <w:rPr>
          <w:rFonts w:ascii="Times New Roman" w:hAnsi="Times New Roman"/>
          <w:sz w:val="24"/>
          <w:lang w:val="ru-RU"/>
        </w:rPr>
        <w:t>задаток</w:t>
      </w:r>
      <w:proofErr w:type="gramEnd"/>
      <w:r w:rsidRPr="00E82E08">
        <w:rPr>
          <w:rFonts w:ascii="Times New Roman" w:hAnsi="Times New Roman"/>
          <w:sz w:val="24"/>
          <w:lang w:val="ru-RU"/>
        </w:rPr>
        <w:t xml:space="preserve">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</w:t>
      </w:r>
      <w:r w:rsidRPr="00E82E08">
        <w:rPr>
          <w:sz w:val="24"/>
          <w:szCs w:val="22"/>
        </w:rPr>
        <w:lastRenderedPageBreak/>
        <w:t xml:space="preserve">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АО СК «Росстрой»</w:t>
            </w:r>
          </w:p>
          <w:p w14:paraId="7E8436C8" w14:textId="74C6C3BC" w:rsidR="003A0353" w:rsidRPr="00D04FFC" w:rsidRDefault="00286A05" w:rsidP="00D04FF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>ИНН 7736229064; ОГРН 1037736001456</w:t>
            </w:r>
            <w:r w:rsidR="003A0353" w:rsidRPr="00D04FFC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2E330312" w14:textId="6B4A93B9" w:rsidR="003A0353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04FFC">
              <w:rPr>
                <w:rFonts w:ascii="Times New Roman" w:hAnsi="Times New Roman"/>
                <w:lang w:val="ru-RU"/>
              </w:rPr>
              <w:t xml:space="preserve">расчетный счет № </w:t>
            </w:r>
            <w:r w:rsidR="00D04FFC" w:rsidRPr="00D04FFC">
              <w:rPr>
                <w:rFonts w:ascii="Times New Roman" w:hAnsi="Times New Roman"/>
                <w:lang w:val="ru-RU"/>
              </w:rPr>
              <w:t>40702810812030909027 в Филиале "Корпоративный" ПАО "</w:t>
            </w:r>
            <w:proofErr w:type="spellStart"/>
            <w:r w:rsidR="00D04FFC" w:rsidRPr="00D04FFC">
              <w:rPr>
                <w:rFonts w:ascii="Times New Roman" w:hAnsi="Times New Roman"/>
                <w:lang w:val="ru-RU"/>
              </w:rPr>
              <w:t>Совкомбанк</w:t>
            </w:r>
            <w:proofErr w:type="spellEnd"/>
            <w:r w:rsidR="00D04FFC" w:rsidRPr="00D04FFC">
              <w:rPr>
                <w:rFonts w:ascii="Times New Roman" w:hAnsi="Times New Roman"/>
                <w:lang w:val="ru-RU"/>
              </w:rPr>
              <w:t>" (</w:t>
            </w:r>
            <w:proofErr w:type="spellStart"/>
            <w:r w:rsidR="00D04FFC" w:rsidRPr="00D04FFC">
              <w:rPr>
                <w:rFonts w:ascii="Times New Roman" w:hAnsi="Times New Roman"/>
                <w:lang w:val="ru-RU"/>
              </w:rPr>
              <w:t>г.Москва</w:t>
            </w:r>
            <w:proofErr w:type="spellEnd"/>
            <w:r w:rsidR="00D04FFC" w:rsidRPr="00D04FFC">
              <w:rPr>
                <w:rFonts w:ascii="Times New Roman" w:hAnsi="Times New Roman"/>
                <w:lang w:val="ru-RU"/>
              </w:rPr>
              <w:t>), к/с 30101810445250000360, БИК 044525360</w:t>
            </w:r>
          </w:p>
          <w:p w14:paraId="20618C94" w14:textId="595ACD93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0B8D6901" w14:textId="77777777" w:rsidR="00E32815" w:rsidRPr="00D04FFC" w:rsidRDefault="00E32815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  <w:lang w:val="ru-RU"/>
              </w:rPr>
            </w:pPr>
          </w:p>
          <w:p w14:paraId="76099091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67FC125E" w14:textId="77777777" w:rsidR="003A0353" w:rsidRPr="00D04FFC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D04FF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04FFC">
              <w:rPr>
                <w:rFonts w:ascii="Times New Roman" w:hAnsi="Times New Roman"/>
                <w:b/>
                <w:lang w:val="ru-RU"/>
              </w:rPr>
              <w:t>___________________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>.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</w:t>
            </w:r>
            <w:r w:rsidRPr="00D04FFC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="00942946" w:rsidRPr="00D04FFC">
              <w:rPr>
                <w:rFonts w:ascii="Times New Roman" w:hAnsi="Times New Roman"/>
                <w:b/>
                <w:lang w:val="ru-RU"/>
              </w:rPr>
              <w:t>Власо</w:t>
            </w:r>
            <w:r w:rsidR="002D41F6" w:rsidRPr="00D04FFC">
              <w:rPr>
                <w:rFonts w:ascii="Times New Roman" w:hAnsi="Times New Roman"/>
                <w:b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D100C"/>
    <w:rsid w:val="00D04FF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u10142</cp:lastModifiedBy>
  <cp:revision>71</cp:revision>
  <dcterms:created xsi:type="dcterms:W3CDTF">2017-10-03T16:37:00Z</dcterms:created>
  <dcterms:modified xsi:type="dcterms:W3CDTF">2023-07-06T10:22:00Z</dcterms:modified>
</cp:coreProperties>
</file>