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Ольшанского Артема Витальевича Корчагин Павел Олегович, действующий на основании Решения Арбитражного суда Амурской области от 23.03.2022 по делу № А04-1138/2022,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Ольшанского Артема Витальевича,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Ольшанскому Артему Витальевичу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Ольшанского Артема Витальевича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z5VUFZcxv6cNE1DIQ/9uBCeLoA==">AMUW2mVYmaiW6LDvzZzy8d9QJY2PL/ov/Z94fPWptVyd5TdzQjgUZR4rZz/ggOg9uBXMQyhpv9ZZr4l8BlPLgWlJUjGbRa75M+kOlwL133qbnS9wmSGxP+Onx0vzA749d3SoHfgmvVcS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