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____________2023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Иващенко Ирины Евгеньевны Курбанов Тимур Айдынович, действующий на основании Решения Арбитражного суда Краснодарского края от 06.04.2021 по делу № А32-49209/2020 и Определения Арбитражного суда Краснодарского края от 22.09.2021,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</w:t>
      </w:r>
      <w:r w:rsidDel="00000000" w:rsidR="00000000" w:rsidRPr="00000000">
        <w:rPr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г. на электронной площадке ООО «Ру-трейд», по продаже имущества Иващенко Ирины Евгеньевны, и на основании Протокола по результатам торгов по продаже имущества Должника от «__»__________ 202</w:t>
      </w:r>
      <w:r w:rsidDel="00000000" w:rsidR="00000000" w:rsidRPr="00000000">
        <w:rPr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г., Продавец обязуется передать, а Покупатель обязуется принять следующее имущество, принадлежащее на праве собственности Иващенко Ирины Евгеньевны (далее – Имущество), определенное, как лот __: _________________________________________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Иващенко Ирины Евгеньевны </w:t>
            </w:r>
          </w:p>
          <w:p w:rsidR="00000000" w:rsidDel="00000000" w:rsidP="00000000" w:rsidRDefault="00000000" w:rsidRPr="00000000" w14:paraId="0000002C">
            <w:pPr>
              <w:tabs>
                <w:tab w:val="left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Курбанов Тимур Айдынович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507504965364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40817810108190095157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Т.А Курбанов/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amY/vw1iSdq0XeBcJugySMPCfg==">AMUW2mVeY+QVunftH81/DKq+6o+sWj/O08x2/okVBPbQYd96mMxJbg+dgShNoWPaSESUYK52Htfbbz5e6l4D3m7uAr60i6DiTis31tIxph6aXUtb3F1qZRW7U4md6cswPdQ79HAe1Ip3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