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0C16ADB3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proofErr w:type="spellStart"/>
      <w:r w:rsidR="008F003C">
        <w:rPr>
          <w:rFonts w:eastAsia="Calibri"/>
          <w:sz w:val="22"/>
          <w:szCs w:val="22"/>
        </w:rPr>
        <w:t>Османовой</w:t>
      </w:r>
      <w:proofErr w:type="spellEnd"/>
      <w:r w:rsidR="008F003C">
        <w:rPr>
          <w:rFonts w:eastAsia="Calibri"/>
          <w:sz w:val="22"/>
          <w:szCs w:val="22"/>
        </w:rPr>
        <w:t xml:space="preserve"> Венеры </w:t>
      </w:r>
      <w:proofErr w:type="spellStart"/>
      <w:r w:rsidR="008F003C">
        <w:rPr>
          <w:rFonts w:eastAsia="Calibri"/>
          <w:sz w:val="22"/>
          <w:szCs w:val="22"/>
        </w:rPr>
        <w:t>Тельмановны</w:t>
      </w:r>
      <w:proofErr w:type="spellEnd"/>
      <w:r w:rsidR="00993B8A" w:rsidRPr="007F7CDD">
        <w:rPr>
          <w:rFonts w:eastAsia="Calibri"/>
          <w:sz w:val="22"/>
          <w:szCs w:val="22"/>
        </w:rPr>
        <w:t>, действующе</w:t>
      </w:r>
      <w:r w:rsidR="008F003C">
        <w:rPr>
          <w:rFonts w:eastAsia="Calibri"/>
          <w:sz w:val="22"/>
          <w:szCs w:val="22"/>
        </w:rPr>
        <w:t>й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</w:t>
      </w:r>
      <w:r w:rsidR="008F003C">
        <w:rPr>
          <w:rFonts w:eastAsia="Calibri"/>
          <w:sz w:val="22"/>
          <w:szCs w:val="22"/>
        </w:rPr>
        <w:t xml:space="preserve">, </w:t>
      </w:r>
      <w:r w:rsidRPr="007F7CDD">
        <w:rPr>
          <w:rFonts w:eastAsia="Calibri"/>
          <w:sz w:val="22"/>
          <w:szCs w:val="22"/>
        </w:rPr>
        <w:t xml:space="preserve">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8F003C">
        <w:rPr>
          <w:rFonts w:eastAsia="Calibri"/>
          <w:sz w:val="22"/>
          <w:szCs w:val="22"/>
        </w:rPr>
        <w:t xml:space="preserve"> и определения </w:t>
      </w:r>
      <w:r w:rsidR="008F003C" w:rsidRPr="007F7CDD">
        <w:rPr>
          <w:rFonts w:eastAsia="Calibri"/>
          <w:sz w:val="22"/>
          <w:szCs w:val="22"/>
        </w:rPr>
        <w:t xml:space="preserve">Арбитражного суда Ямало-Ненецкого автономного округа от </w:t>
      </w:r>
      <w:r w:rsidR="008F003C">
        <w:rPr>
          <w:rFonts w:eastAsia="Calibri"/>
          <w:sz w:val="22"/>
          <w:szCs w:val="22"/>
        </w:rPr>
        <w:t>2</w:t>
      </w:r>
      <w:r w:rsidR="008F003C" w:rsidRPr="007F7CDD">
        <w:rPr>
          <w:rFonts w:eastAsia="Calibri"/>
          <w:sz w:val="22"/>
          <w:szCs w:val="22"/>
        </w:rPr>
        <w:t>9.01.20</w:t>
      </w:r>
      <w:r w:rsidR="008F003C">
        <w:rPr>
          <w:rFonts w:eastAsia="Calibri"/>
          <w:sz w:val="22"/>
          <w:szCs w:val="22"/>
        </w:rPr>
        <w:t>21</w:t>
      </w:r>
      <w:r w:rsidR="008F003C" w:rsidRPr="007F7CDD">
        <w:rPr>
          <w:rFonts w:eastAsia="Calibri"/>
          <w:sz w:val="22"/>
          <w:szCs w:val="22"/>
        </w:rPr>
        <w:t xml:space="preserve"> по делу № А81-1827/2017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73BA069D" w14:textId="77777777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1E855699" w14:textId="1A59DEDE" w:rsidR="008F003C" w:rsidRDefault="00CB6A8A" w:rsidP="008F003C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DB0300">
        <w:rPr>
          <w:rFonts w:ascii="Times New Roman" w:hAnsi="Times New Roman" w:cs="Times New Roman"/>
          <w:sz w:val="22"/>
          <w:szCs w:val="22"/>
        </w:rPr>
        <w:t>__</w:t>
      </w:r>
      <w:r w:rsidR="00147C1A" w:rsidRPr="00324CF3">
        <w:rPr>
          <w:rFonts w:ascii="Times New Roman" w:hAnsi="Times New Roman" w:cs="Times New Roman"/>
          <w:sz w:val="22"/>
          <w:szCs w:val="22"/>
        </w:rPr>
        <w:t>:</w:t>
      </w:r>
    </w:p>
    <w:p w14:paraId="59A014FB" w14:textId="31A0313E" w:rsidR="00CB6A8A" w:rsidRPr="00324CF3" w:rsidRDefault="00DB0300" w:rsidP="008F003C">
      <w:pPr>
        <w:pStyle w:val="Con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141C0924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«СП Фоника»</w:t>
      </w:r>
      <w:r w:rsidR="00925578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2F6D5CC7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77777777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14:paraId="6CB9506F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2484C76F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14E3A1A1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5D7DF9D5" w14:textId="77777777" w:rsidR="00D0253E" w:rsidRPr="007F7CDD" w:rsidRDefault="00D0253E" w:rsidP="00D0253E">
            <w:pPr>
              <w:rPr>
                <w:rFonts w:eastAsia="SimSun"/>
                <w:b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14:paraId="44E6521F" w14:textId="77777777" w:rsidR="00D0253E" w:rsidRPr="007F7CDD" w:rsidRDefault="00D0253E" w:rsidP="00D0253E">
            <w:pPr>
              <w:jc w:val="both"/>
              <w:rPr>
                <w:rFonts w:eastAsia="SimSun"/>
                <w:bCs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 xml:space="preserve">Юридический адрес: 629303, г. Новый Уренгой, </w:t>
            </w:r>
            <w:proofErr w:type="spellStart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мкр</w:t>
            </w:r>
            <w:proofErr w:type="spellEnd"/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. Мирный, д. 1, корп. 3А</w:t>
            </w:r>
          </w:p>
          <w:p w14:paraId="5AD15A2D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14:paraId="2C7D58A6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</w:pPr>
            <w:r w:rsidRPr="007F7CDD">
              <w:rPr>
                <w:sz w:val="22"/>
                <w:szCs w:val="22"/>
              </w:rPr>
              <w:t xml:space="preserve">р/с: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14:paraId="5FBEAC26" w14:textId="77777777" w:rsidR="00D0253E" w:rsidRPr="007F7CDD" w:rsidRDefault="00D0253E" w:rsidP="00D0253E">
            <w:pPr>
              <w:jc w:val="both"/>
            </w:pPr>
          </w:p>
          <w:p w14:paraId="30DF1176" w14:textId="77777777" w:rsidR="00D0253E" w:rsidRPr="007F7CDD" w:rsidRDefault="00D0253E" w:rsidP="00D0253E">
            <w:pPr>
              <w:jc w:val="both"/>
            </w:pPr>
          </w:p>
          <w:p w14:paraId="78ADA5AB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38B98E1A" w14:textId="77777777" w:rsidR="00D0253E" w:rsidRPr="007F7CDD" w:rsidRDefault="00D0253E" w:rsidP="00D0253E">
            <w:pPr>
              <w:jc w:val="both"/>
            </w:pPr>
          </w:p>
          <w:p w14:paraId="418D5463" w14:textId="6BEFDD69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8F003C">
              <w:rPr>
                <w:sz w:val="22"/>
                <w:szCs w:val="22"/>
              </w:rPr>
              <w:t xml:space="preserve">В.Т. </w:t>
            </w:r>
            <w:proofErr w:type="spellStart"/>
            <w:r w:rsidR="008F003C">
              <w:rPr>
                <w:sz w:val="22"/>
                <w:szCs w:val="22"/>
              </w:rPr>
              <w:t>Османова</w:t>
            </w:r>
            <w:proofErr w:type="spellEnd"/>
          </w:p>
          <w:p w14:paraId="65EB24BE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3CA02582" w14:textId="77777777" w:rsidR="00CB6A8A" w:rsidRPr="007F7CDD" w:rsidRDefault="00CB6A8A" w:rsidP="00993B8A">
            <w:pPr>
              <w:jc w:val="both"/>
            </w:pPr>
          </w:p>
          <w:p w14:paraId="66CBB4E8" w14:textId="77777777" w:rsidR="00CB6A8A" w:rsidRPr="007F7CDD" w:rsidRDefault="00CB6A8A" w:rsidP="00993B8A">
            <w:pPr>
              <w:jc w:val="both"/>
            </w:pP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4A930C5A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064DC891" w14:textId="77777777" w:rsidR="00CB6A8A" w:rsidRPr="007F7CDD" w:rsidRDefault="00CB6A8A" w:rsidP="00CB6A8A">
      <w:pPr>
        <w:rPr>
          <w:sz w:val="22"/>
          <w:szCs w:val="22"/>
        </w:rPr>
      </w:pPr>
    </w:p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CDD"/>
    <w:rsid w:val="008C4DB8"/>
    <w:rsid w:val="008F003C"/>
    <w:rsid w:val="00925578"/>
    <w:rsid w:val="00993B8A"/>
    <w:rsid w:val="00B238AB"/>
    <w:rsid w:val="00B3459A"/>
    <w:rsid w:val="00C70DCA"/>
    <w:rsid w:val="00CB6A8A"/>
    <w:rsid w:val="00CF3951"/>
    <w:rsid w:val="00D0253E"/>
    <w:rsid w:val="00D92566"/>
    <w:rsid w:val="00DB0300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CD7C-30D7-407C-A716-64935869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3</cp:revision>
  <dcterms:created xsi:type="dcterms:W3CDTF">2022-05-24T09:27:00Z</dcterms:created>
  <dcterms:modified xsi:type="dcterms:W3CDTF">2022-10-12T12:18:00Z</dcterms:modified>
</cp:coreProperties>
</file>