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bookmarkStart w:id="0" w:name="_GoBack"/>
      <w:bookmarkEnd w:id="0"/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3rVqn/8WU4ByK0kHPCVVSHaN1+pLq7bR2c4ODRvdXRo=</DigestValue>
    </Reference>
    <Reference Type="http://www.w3.org/2000/09/xmldsig#Object" URI="#idOfficeObject">
      <DigestMethod Algorithm="urn:ietf:params:xml:ns:cpxmlsec:algorithms:gostr34112012-256"/>
      <DigestValue>9pqY6YwCgQHgz6N69eZzWzP21FsauAC2SQ+u1Vpk7jo=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MRHukuDNujiySZiK1NNscXMeN2JOldG2JTrS8Bz74xQ=</DigestValue>
    </Reference>
  </SignedInfo>
  <SignatureValue>WPjiO62yei266Iu1GdNzC5w7Pd8iqQxLBuQviUTkShf8c15na5dhwUEw3/m/yFgK
i8KeqNJS18O9kgkiQwH44Q==</SignatureValue>
  <KeyInfo>
    <X509Data>
      <X509Certificate>MIIKtDCCCmGgAwIBAgIQbQiqALitbJNJjXBSmbai9jAKBggqhQMHAQEDAjCCAYkx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ndCX0J7QoCIwHhcNMjExMDA1MTAwOTA1WhcNMjIxMDA1MTAxOTA1WjCCASExLjAs
BgNVBAgMJdCv0YDQvtGB0LvQsNCy0YHQutCw0Y8g0L7QsdC70LDRgdGC0YwxCzAJ
BgNVBAYTAlJVMTIwMAYDVQQqDCnQmtC+0L3RgdGC0LDQvdGC0LjQvSDQktC40LrR
gtC+0YDQvtCy0LjRhzEVMBMGA1UEBAwM0JzQvtC20LDQtdCyMT8wPQYDVQQDDDbQ
nNC+0LbQsNC10LIg0JrQvtC90YHRgtCw0L3RgtC40L0g0JLQuNC60YLQvtGA0L7Q
stC40YcxIjAgBgkqhkiG9w0BCQEWEzg5MDM2OTEzNTY1QG1haWwucnUxGjAYBggq
hQMDgQMBARIMNzYwNTAzMjAwNTg5MRYwFAYFKoUDZAMSCzA1NDUzNTQxMTQ3MGYw
HwYIKoUDBwEBAQEwEwYHKoUDAgIkAAYIKoUDBwEBAgIDQwAEQBR6UmyIwrEfshlM
AZtTNuLm8f0m4W4t5B4PKc5VDzI6eZYGwWRFn85TbswPpiSq/ycF8JnRrL1IDN5Z
gHGDTJ2jggcAMIIG/DAOBgNVHQ8BAf8EBAMCA/gwTQYDVR0lBEYwRAYHKoUDAgIi
GQYHKoUDAgIiGgYHKoUDAgIiBgYJKoUDAzoDAQEFBggqhQMDCGQBEwYIKwYBBQUH
AwIGCCsGAQUFBwMEMB0GA1UdIAQWMBQwCAYGKoUDZHEBMAgGBiqFA2RxAjAhBgUq
hQNkbwQYDBbQmtGA0LjQv9GC0L7Qn9GA0L4gQ1NQMAwGBSqFA2RyBAMCAQEwLgYD
VR0RBCcwJaQjMCExHzAdBgkqhkiG9w0BCQIWEElOTj03NjA1MDMyMDA1ODkwggHH
BggrBgEFBQcBAQSCAbkwggG1MEYGCCsGAQUFBzABhjpodHRwOi8vdGF4NC50ZW5z
b3IucnUvb2NzcC10ZW5zb3JjYS0yMDIxX2dvc3QyMDEyL29jc3Auc3JmMF4GCCsG
AQUFBzAChlJodHRwOi8vdGF4NC50ZW5zb3IucnUvdGVuc29yY2EtMjAyMV9nb3N0
MjAxMi9jZXJ0ZW5yb2xsL3RlbnNvcmNhLTIwMjFfZ29zdDIwMTIuY3J0MDoGCCsG
AQUFBzAChi5odHRwOi8vdGVuc29yLnJ1L2NhL3RlbnNvcmNhLTIwMjFfZ29zdDIw
MTIuY3J0MEMGCCsGAQUFBzAChjdodHRwOi8vY3JsLnRlbnNvci5ydS90YXg0L2Nh
L3RlbnNvcmNhLTIwMjFfZ29zdDIwMTIuY3J0MEQGCCsGAQUFBzAChjhodHRwOi8v
Y3JsMi50ZW5zb3IucnUvdGF4NC9jYS90ZW5zb3JjYS0yMDIxX2dvc3QyMDEyLmNy
dDBEBggrBgEFBQcwAoY4aHR0cDovL2NybDMudGVuc29yLnJ1L3RheDQvY2EvdGVu
c29yY2EtMjAyMV9nb3N0MjAxMi5jcnQwKwYDVR0QBCQwIoAPMjAyMTEwMDUxMDA5
MDRagQ8yMDIyMTAwNTEwMDkwNFowggEzBgUqhQNkcASCASgwggEkDCsi0JrRgNC4
0L/RgtC+0J/RgNC+IENTUCIgKNCy0LXRgNGB0LjRjyA0LjApDFMi0KPQtNC+0YHR
gtC+0LLQtdGA0Y/RjtGJ0LjQuSDRhtC10L3RgtGAICLQmtGA0LjQv9GC0L7Qn9GA
0L4g0KPQpiIg0LLQtdGA0YHQuNC4IDIuMAxP0KHQtdGA0YLQuNGE0LjQutCw0YIg
0YHQvtC+0YLQstC10YLRgdGC0LLQuNGPIOKEliDQodCkLzEyNC0zOTY2INC+0YIg
MTUuMDEuMjAyMQxP0KHQtdGA0YLQuNGE0LjQutCw0YIg0YHQvtC+0YLQstC10YLR
gdGC0LLQuNGPIOKEliDQodCkLzEyOC0zNTkyINC+0YIgMTcuMTAuMjAxODCCAWgG
A1UdHwSCAV8wggFbMFigVqBUhlJodHRwOi8vdGF4NC50ZW5zb3IucnUvdGVuc29y
Y2EtMjAyMV9nb3N0MjAxMi9jZXJ0ZW5yb2xsL3RlbnNvcmNhLTIwMjFfZ29zdDIw
MTIuY3JsMDSgMqAwhi5odHRwOi8vdGVuc29yLnJ1L2NhL3RlbnNvcmNhLTIwMjFf
Z29zdDIwMTIuY3JsMEGgP6A9hjtodHRwOi8vY3JsLnRlbnNvci5ydS90YXg0L2Nh
L2NybC90ZW5zb3JjYS0yMDIxX2dvc3QyMDEyLmNybDBCoECgPoY8aHR0cDovL2Ny
bDIudGVuc29yLnJ1L3RheDQvY2EvY3JsL3RlbnNvcmNhLTIwMjFfZ29zdDIwMTIu
Y3JsMEKgQKA+hjxodHRwOi8vY3JsMy50ZW5zb3IucnUvdGF4NC9jYS9jcmwvdGVu
c29yY2EtMjAyMV9nb3N0MjAxMi5jcmwwggFfBgNVHSMEggFWMIIBUoAUV94jGe+B
gSwM1x785820tkAh8TKhggEspIIBKDCCASQxHjAcBgkqhkiG9w0BCQEWD2RpdEBt
aW5zdnlhei5ydTELMAkGA1UEBhMCUlUxGDAWBgNVBAgMDzc3INCc0L7RgdC60LLQ
sDEZMBcGA1UEBwwQ0LMuINCc0L7RgdC60LLQsDEuMCwGA1UECQwl0YPQu9C40YbQ
sCDQotCy0LXRgNGB0LrQsNGPLCDQtNC+0LwgNzEsMCoGA1UECgwj0JzQuNC90LrQ
vtC80YHQstGP0LfRjCDQoNC+0YHRgdC40LgxGDAWBgUqhQNkARINMTA0NzcwMjAy
NjcwMTEaMBgGCCqFAwOBAwEBEgwwMDc3MTA0NzQzNzUxLDAqBgNVBAMMI9Cc0LjQ
vdC60L7QvNGB0LLRj9C30Ywg0KDQvtGB0YHQuNC4ggph582qAAAAAAUaMB0GA1Ud
DgQWBBQsi+9tCnF1iVSE1zWREsT9IVTonDAKBggqhQMHAQEDAgNBAB2lQqyOZ4uf
sOuch3dH5oleKYMHZU1GCTg1Y9s46yH3P/ArnObcr2Za3MEbwbPZJBWcRmvBNwQF
DqimJAmce38=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3cplXDiERuf5elY5JOTVHVY/S/c=</DigestValue>
      </Reference>
      <Reference URI="/word/fontTable.xml?ContentType=application/vnd.openxmlformats-officedocument.wordprocessingml.fontTable+xml">
        <DigestMethod Algorithm="http://www.w3.org/2000/09/xmldsig#sha1"/>
        <DigestValue>mOIIJvS3xc9Nkwu016hU5moJ/M4=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VfvShF+TWLKwpNrQ+sVdVuL1GqQ=</DigestValue>
      </Reference>
      <Reference URI="/word/styles.xml?ContentType=application/vnd.openxmlformats-officedocument.wordprocessingml.styles+xml">
        <DigestMethod Algorithm="http://www.w3.org/2000/09/xmldsig#sha1"/>
        <DigestValue>7sX136FDXa6KK2YtMxJ+9Hac8rM=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2022-08-08T07:18:48Z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1280</HorizontalResolution>
          <VerticalResolution>800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2022-08-08T07:18:48Z</xd:SigningTime>
          <xd:SigningCertificate>
            <xd:Cert>
              <xd:CertDigest>
                <DigestMethod Algorithm="http://www.w3.org/2000/09/xmldsig#sha1"/>
                <DigestValue>9rndHkPPIjGJgJfPUikY6PY6IPE=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144930837982211628257987652660034446070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Техническая поддержка Ру-Трейд</cp:lastModifiedBy>
  <cp:revision>4</cp:revision>
  <cp:lastPrinted>2018-02-14T08:46:00Z</cp:lastPrinted>
  <dcterms:created xsi:type="dcterms:W3CDTF">2020-10-21T16:14:00Z</dcterms:created>
  <dcterms:modified xsi:type="dcterms:W3CDTF">2020-10-22T11:29:00Z</dcterms:modified>
</cp:coreProperties>
</file>