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D96F8A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AC0C596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7D0C1E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7F37D4" w:rsidRPr="007F37D4">
        <w:rPr>
          <w:sz w:val="22"/>
          <w:szCs w:val="22"/>
        </w:rPr>
        <w:t>ООО «Автоцентр»</w:t>
      </w:r>
      <w:bookmarkStart w:id="0" w:name="_GoBack"/>
      <w:bookmarkEnd w:id="0"/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PewZtuP95I74SjNjlv77k71AemJzeB+1nyNkyK3LHng=</DigestValue>
    </Reference>
    <Reference Type="http://www.w3.org/2000/09/xmldsig#Object" URI="#idOfficeObject">
      <DigestMethod Algorithm="urn:ietf:params:xml:ns:cpxmlsec:algorithms:gostr34112012-256"/>
      <DigestValue>L4Tt4WJgW8/5IDsl7f16eaCOnRduXk3QgwQUUl21qiY=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vj+SU6VZdcyzBomtAF84Fpf0S6TT3O5KAzLp3zFQSRc=</DigestValue>
    </Reference>
  </SignedInfo>
  <SignatureValue>ImvT1I1tqZQiKef05bvh4seTGZ6+PwTuYN9WKPMPgGXXRe0KssLCi0H9a2panztq
JcTc4DdiIBQkJw4nS0kaqw==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B8KyxIEj6nhWx0xFWXbrEFoskpg=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pcKH6ppKq4fmqdZ8gm3Txk0cXVY=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2022-06-09T13:43:13Z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2022-06-09T13:43:13Z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2021-09-01T07:59:00Z</dcterms:created>
  <dcterms:modified xsi:type="dcterms:W3CDTF">2021-12-23T08:02:00Z</dcterms:modified>
</cp:coreProperties>
</file>