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E19CD" w:rsidRPr="00F402DD">
        <w:rPr>
          <w:sz w:val="22"/>
          <w:szCs w:val="22"/>
        </w:rPr>
        <w:t>18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D67D2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Финансовый управляющий </w:t>
      </w:r>
      <w:r w:rsidR="009D6DF9" w:rsidRPr="00903A6C">
        <w:rPr>
          <w:color w:val="000000" w:themeColor="text1"/>
          <w:sz w:val="22"/>
          <w:szCs w:val="22"/>
        </w:rPr>
        <w:t>Цветкова Павла Александровича</w:t>
      </w:r>
      <w:r w:rsidR="009D6DF9" w:rsidRPr="00F02C41">
        <w:rPr>
          <w:sz w:val="22"/>
          <w:szCs w:val="22"/>
        </w:rPr>
        <w:t xml:space="preserve"> Петров Владимир Геннадьевич, </w:t>
      </w:r>
      <w:r w:rsidR="009D6DF9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D6DF9" w:rsidRPr="00F02C41">
        <w:rPr>
          <w:color w:val="000000"/>
          <w:sz w:val="22"/>
          <w:szCs w:val="22"/>
        </w:rPr>
        <w:t xml:space="preserve">Арбитражного </w:t>
      </w:r>
      <w:proofErr w:type="spellStart"/>
      <w:r w:rsidR="009D6DF9">
        <w:rPr>
          <w:color w:val="000000"/>
          <w:sz w:val="22"/>
          <w:szCs w:val="22"/>
        </w:rPr>
        <w:t>г.</w:t>
      </w:r>
      <w:r w:rsidR="009D6DF9" w:rsidRPr="00903A6C">
        <w:rPr>
          <w:color w:val="000000" w:themeColor="text1"/>
          <w:sz w:val="22"/>
          <w:szCs w:val="22"/>
        </w:rPr>
        <w:t>Санкт</w:t>
      </w:r>
      <w:proofErr w:type="spellEnd"/>
      <w:r w:rsidR="009D6DF9" w:rsidRPr="00903A6C">
        <w:rPr>
          <w:color w:val="000000" w:themeColor="text1"/>
          <w:sz w:val="22"/>
          <w:szCs w:val="22"/>
        </w:rPr>
        <w:t>-Петербурга и Ленинградской области от 03.07.2019 по делу № А56-13912/2019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F402DD">
        <w:rPr>
          <w:sz w:val="22"/>
          <w:szCs w:val="22"/>
          <w:lang w:eastAsia="fa-IR" w:bidi="fa-IR"/>
        </w:rPr>
        <w:t>__</w:t>
      </w:r>
      <w:r w:rsidR="006C1782" w:rsidRPr="00F402DD">
        <w:rPr>
          <w:sz w:val="22"/>
          <w:szCs w:val="22"/>
          <w:lang w:eastAsia="fa-IR" w:bidi="fa-IR"/>
        </w:rPr>
        <w:t xml:space="preserve">: </w:t>
      </w:r>
      <w:r w:rsidR="004A30E2" w:rsidRPr="00F402DD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F402DD">
        <w:rPr>
          <w:color w:val="000000"/>
          <w:sz w:val="22"/>
          <w:szCs w:val="22"/>
        </w:rPr>
        <w:t>.</w:t>
      </w:r>
      <w:r w:rsidRPr="00F402DD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9D6DF9">
        <w:rPr>
          <w:sz w:val="22"/>
          <w:szCs w:val="22"/>
          <w:lang w:eastAsia="fa-IR" w:bidi="fa-IR"/>
        </w:rPr>
        <w:t>Цветкова П.А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9D6DF9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9D6DF9">
        <w:rPr>
          <w:sz w:val="22"/>
          <w:szCs w:val="22"/>
        </w:rPr>
        <w:t>есять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9D6DF9">
        <w:rPr>
          <w:sz w:val="22"/>
          <w:szCs w:val="22"/>
        </w:rPr>
        <w:t>г.СПб</w:t>
      </w:r>
      <w:proofErr w:type="spellEnd"/>
      <w:r w:rsidR="009D6DF9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составлено в </w:t>
      </w:r>
      <w:r w:rsidR="009D6DF9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9D6DF9">
        <w:rPr>
          <w:sz w:val="22"/>
          <w:szCs w:val="22"/>
        </w:rPr>
        <w:t>ждой из Сторон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D76358" w:rsidRPr="00F402DD" w:rsidRDefault="009D6DF9" w:rsidP="00656732">
            <w:pPr>
              <w:snapToGrid w:val="0"/>
            </w:pPr>
            <w:r>
              <w:rPr>
                <w:sz w:val="22"/>
                <w:szCs w:val="22"/>
              </w:rPr>
              <w:t>Цветкова П.А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861AA"/>
    <w:rsid w:val="009D6DF9"/>
    <w:rsid w:val="00A26616"/>
    <w:rsid w:val="00AA7C52"/>
    <w:rsid w:val="00AB3992"/>
    <w:rsid w:val="00B16B83"/>
    <w:rsid w:val="00B93055"/>
    <w:rsid w:val="00BA6C82"/>
    <w:rsid w:val="00C038E1"/>
    <w:rsid w:val="00C657C5"/>
    <w:rsid w:val="00D67D28"/>
    <w:rsid w:val="00D76358"/>
    <w:rsid w:val="00E741CB"/>
    <w:rsid w:val="00F402DD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565</Words>
  <Characters>3225</Characters>
  <Application>Microsoft Office Word</Application>
  <DocSecurity>0</DocSecurity>
  <Lines>26</Lines>
  <Paragraphs>7</Paragraphs>
  <ScaleCrop>false</ScaleCrop>
  <Company>Microsoft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27</cp:revision>
  <dcterms:created xsi:type="dcterms:W3CDTF">2016-12-07T08:54:00Z</dcterms:created>
  <dcterms:modified xsi:type="dcterms:W3CDTF">2020-10-17T15:40:00Z</dcterms:modified>
</cp:coreProperties>
</file>