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</w:t>
      </w:r>
      <w:proofErr w:type="spellStart"/>
      <w:r w:rsidRPr="000F4C1B">
        <w:rPr>
          <w:rFonts w:ascii="Times New Roman" w:hAnsi="Times New Roman"/>
          <w:sz w:val="24"/>
          <w:szCs w:val="24"/>
        </w:rPr>
        <w:t>Дробышевского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торгах</w:t>
      </w:r>
      <w:r w:rsidR="009752FD">
        <w:rPr>
          <w:rFonts w:ascii="Times New Roman" w:hAnsi="Times New Roman"/>
          <w:sz w:val="24"/>
          <w:szCs w:val="24"/>
        </w:rPr>
        <w:t xml:space="preserve"> посредством публичного предложения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Реквизиты для перечисления задатка: расчетный счет р/с ООО «</w:t>
      </w:r>
      <w:proofErr w:type="spellStart"/>
      <w:r w:rsidRPr="000F4C1B">
        <w:rPr>
          <w:rFonts w:ascii="Times New Roman" w:hAnsi="Times New Roman"/>
          <w:sz w:val="24"/>
          <w:szCs w:val="24"/>
        </w:rPr>
        <w:t>Ру</w:t>
      </w:r>
      <w:proofErr w:type="spellEnd"/>
      <w:r w:rsidRPr="000F4C1B">
        <w:rPr>
          <w:rFonts w:ascii="Times New Roman" w:hAnsi="Times New Roman"/>
          <w:sz w:val="24"/>
          <w:szCs w:val="24"/>
        </w:rPr>
        <w:t xml:space="preserve">-Трейд» </w:t>
      </w:r>
      <w:r w:rsidR="002A312B" w:rsidRPr="000F4C1B">
        <w:rPr>
          <w:rFonts w:ascii="Times New Roman" w:hAnsi="Times New Roman"/>
          <w:sz w:val="24"/>
          <w:szCs w:val="24"/>
        </w:rPr>
        <w:t>№ 40702810700003006509</w:t>
      </w:r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</w:t>
      </w:r>
      <w:r w:rsidR="002A312B" w:rsidRPr="000F4C1B">
        <w:rPr>
          <w:rFonts w:ascii="Times New Roman" w:eastAsia="Times New Roman" w:hAnsi="Times New Roman"/>
          <w:color w:val="000000"/>
          <w:sz w:val="24"/>
          <w:szCs w:val="24"/>
        </w:rPr>
        <w:t>на счёт,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а также перечисления сумм(ы) задатка </w:t>
      </w:r>
      <w:r w:rsidR="002A312B">
        <w:rPr>
          <w:rFonts w:ascii="Times New Roman" w:eastAsia="Times New Roman" w:hAnsi="Times New Roman"/>
          <w:color w:val="000000"/>
          <w:sz w:val="24"/>
          <w:szCs w:val="24"/>
        </w:rPr>
        <w:t>на расчетный счет,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указанный в договоре</w:t>
      </w:r>
      <w:r w:rsidRPr="009752F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:rsidTr="00ED2BFA">
        <w:trPr>
          <w:trHeight w:val="495"/>
        </w:trPr>
        <w:tc>
          <w:tcPr>
            <w:tcW w:w="4882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:rsidTr="00ED2BFA">
        <w:trPr>
          <w:trHeight w:val="2799"/>
        </w:trPr>
        <w:tc>
          <w:tcPr>
            <w:tcW w:w="4882" w:type="dxa"/>
          </w:tcPr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 w:rsidR="002A312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="002A312B"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КПП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129344,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г.Москва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ул.Енисейская</w:t>
            </w:r>
            <w:proofErr w:type="spellEnd"/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д.1, стр.8, эт.2, пом.14</w:t>
            </w:r>
          </w:p>
          <w:p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:rsidR="002B6829" w:rsidRPr="002B6829" w:rsidRDefault="002A312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Дробышевский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emilight">
    <w:altName w:val="Arial"/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8D"/>
    <w:rsid w:val="00014ADB"/>
    <w:rsid w:val="000D295B"/>
    <w:rsid w:val="000F4C1B"/>
    <w:rsid w:val="002A312B"/>
    <w:rsid w:val="002B6829"/>
    <w:rsid w:val="00337B10"/>
    <w:rsid w:val="0037370E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752FD"/>
    <w:rsid w:val="009E6367"/>
    <w:rsid w:val="00A72967"/>
    <w:rsid w:val="00BA2BBB"/>
    <w:rsid w:val="00E21B49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A064"/>
  <w15:docId w15:val="{99EE042A-52E6-43A4-8840-E56F3553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Юрий Бухтеев</dc:creator>
  <cp:lastModifiedBy>Дедова Анна Григорьевна</cp:lastModifiedBy>
  <cp:revision>3</cp:revision>
  <cp:lastPrinted>2018-02-14T08:46:00Z</cp:lastPrinted>
  <dcterms:created xsi:type="dcterms:W3CDTF">2018-02-14T11:05:00Z</dcterms:created>
  <dcterms:modified xsi:type="dcterms:W3CDTF">2020-08-17T10:34:00Z</dcterms:modified>
</cp:coreProperties>
</file>