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:rsidR="00730BFC" w:rsidRPr="002A2D88" w:rsidRDefault="00E7486E" w:rsidP="003D05E0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3D05E0">
              <w:rPr>
                <w:sz w:val="20"/>
              </w:rPr>
              <w:t>2020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proofErr w:type="spellStart"/>
      <w:r w:rsidR="00E26D12">
        <w:rPr>
          <w:sz w:val="20"/>
          <w:szCs w:val="20"/>
        </w:rPr>
        <w:t>Эридана</w:t>
      </w:r>
      <w:proofErr w:type="spellEnd"/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E26D12" w:rsidRPr="00E26D12">
        <w:rPr>
          <w:sz w:val="20"/>
          <w:szCs w:val="20"/>
        </w:rPr>
        <w:t>ООО «</w:t>
      </w:r>
      <w:proofErr w:type="spellStart"/>
      <w:r w:rsidR="00E26D12" w:rsidRPr="00E26D12">
        <w:rPr>
          <w:sz w:val="20"/>
          <w:szCs w:val="20"/>
        </w:rPr>
        <w:t>Эридана</w:t>
      </w:r>
      <w:proofErr w:type="spellEnd"/>
      <w:r w:rsidR="00E26D12" w:rsidRPr="00E26D12">
        <w:rPr>
          <w:sz w:val="20"/>
          <w:szCs w:val="20"/>
        </w:rPr>
        <w:t>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5C5870" w:rsidRPr="005C5870">
        <w:rPr>
          <w:sz w:val="20"/>
          <w:szCs w:val="20"/>
        </w:rPr>
        <w:t>Организатора торгов</w:t>
      </w:r>
      <w:r w:rsidRPr="006F148E">
        <w:rPr>
          <w:sz w:val="20"/>
          <w:szCs w:val="20"/>
        </w:rPr>
        <w:t xml:space="preserve"> 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E26D12" w:rsidRPr="00E26D12">
        <w:rPr>
          <w:sz w:val="20"/>
          <w:szCs w:val="20"/>
        </w:rPr>
        <w:t>ООО «</w:t>
      </w:r>
      <w:proofErr w:type="spellStart"/>
      <w:r w:rsidR="00E26D12" w:rsidRPr="00E26D12">
        <w:rPr>
          <w:sz w:val="20"/>
          <w:szCs w:val="20"/>
        </w:rPr>
        <w:t>Эридана</w:t>
      </w:r>
      <w:proofErr w:type="spellEnd"/>
      <w:r w:rsidR="00E26D12" w:rsidRPr="00E26D12">
        <w:rPr>
          <w:sz w:val="20"/>
          <w:szCs w:val="20"/>
        </w:rPr>
        <w:t>»: ИНН/КПП 7730629690/773001001, р/с 40701810938000003119 в ПАО “Сбербанк», к/с  30101810400000000225 в ГУ Банка России по ЦФО, БИК 044525225</w:t>
      </w:r>
      <w:r w:rsidR="00E26D12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>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имущества </w:t>
      </w:r>
      <w:r w:rsidR="00E26D12" w:rsidRPr="00E26D12">
        <w:rPr>
          <w:sz w:val="20"/>
          <w:szCs w:val="20"/>
        </w:rPr>
        <w:t>ООО «</w:t>
      </w:r>
      <w:proofErr w:type="spellStart"/>
      <w:r w:rsidR="00E26D12" w:rsidRPr="00E26D12">
        <w:rPr>
          <w:sz w:val="20"/>
          <w:szCs w:val="20"/>
        </w:rPr>
        <w:t>Эридана</w:t>
      </w:r>
      <w:proofErr w:type="spellEnd"/>
      <w:r w:rsidR="00E26D12" w:rsidRPr="00E26D12">
        <w:rPr>
          <w:sz w:val="20"/>
          <w:szCs w:val="20"/>
        </w:rPr>
        <w:t>»</w:t>
      </w:r>
      <w:r w:rsidR="00DC776B" w:rsidRPr="00DC776B">
        <w:rPr>
          <w:sz w:val="20"/>
          <w:szCs w:val="20"/>
        </w:rPr>
        <w:t>" в составе лота №1;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</w:t>
      </w:r>
      <w:bookmarkStart w:id="0" w:name="_GoBack"/>
      <w:bookmarkEnd w:id="0"/>
      <w:r w:rsidR="00193CA7" w:rsidRPr="002A2D88">
        <w:rPr>
          <w:sz w:val="20"/>
          <w:szCs w:val="20"/>
        </w:rPr>
        <w:t>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7486E">
              <w:rPr>
                <w:sz w:val="20"/>
                <w:szCs w:val="20"/>
              </w:rPr>
              <w:t>Дорошин Н.В.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E7486E">
      <w:pPr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6E" w:rsidRDefault="00E7486E">
      <w:r>
        <w:separator/>
      </w:r>
    </w:p>
  </w:endnote>
  <w:endnote w:type="continuationSeparator" w:id="0">
    <w:p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6E" w:rsidRDefault="00E7486E">
      <w:r>
        <w:separator/>
      </w:r>
    </w:p>
  </w:footnote>
  <w:footnote w:type="continuationSeparator" w:id="0">
    <w:p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E26D12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3D05E0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14888"/>
    <w:rsid w:val="00E26D12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EB2A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2019-05-16T09:23:00Z</dcterms:created>
  <dcterms:modified xsi:type="dcterms:W3CDTF">2020-02-07T06:58:00Z</dcterms:modified>
</cp:coreProperties>
</file>