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bookmarkStart w:id="0" w:name="_GoBack"/>
      <w:bookmarkEnd w:id="0"/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:rsidR="00730BFC" w:rsidRPr="002A2D88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r w:rsidR="000B4EE8">
        <w:rPr>
          <w:sz w:val="20"/>
          <w:szCs w:val="20"/>
        </w:rPr>
        <w:t>Гелинкор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"Ру-Трейд"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93634B">
        <w:rPr>
          <w:sz w:val="20"/>
          <w:szCs w:val="20"/>
        </w:rPr>
        <w:t>ОО</w:t>
      </w:r>
      <w:r w:rsidR="005C5870" w:rsidRPr="005C5870">
        <w:rPr>
          <w:sz w:val="20"/>
          <w:szCs w:val="20"/>
        </w:rPr>
        <w:t>О «</w:t>
      </w:r>
      <w:r w:rsidR="000B4EE8">
        <w:rPr>
          <w:sz w:val="20"/>
          <w:szCs w:val="20"/>
        </w:rPr>
        <w:t>Гелинкор</w:t>
      </w:r>
      <w:r w:rsidR="005C5870" w:rsidRPr="005C5870">
        <w:rPr>
          <w:sz w:val="20"/>
          <w:szCs w:val="20"/>
        </w:rPr>
        <w:t>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согласно </w:t>
      </w:r>
      <w:r w:rsidR="004273A9">
        <w:rPr>
          <w:sz w:val="20"/>
          <w:szCs w:val="20"/>
        </w:rPr>
        <w:t>р</w:t>
      </w:r>
      <w:r w:rsidRPr="006F148E">
        <w:rPr>
          <w:sz w:val="20"/>
          <w:szCs w:val="20"/>
        </w:rPr>
        <w:t>еквизитам</w:t>
      </w:r>
      <w:r w:rsidR="00CE660C">
        <w:rPr>
          <w:sz w:val="20"/>
          <w:szCs w:val="20"/>
        </w:rPr>
        <w:t>,</w:t>
      </w:r>
      <w:r w:rsidR="004273A9">
        <w:rPr>
          <w:sz w:val="20"/>
          <w:szCs w:val="20"/>
        </w:rPr>
        <w:t xml:space="preserve"> указанным в сообщении о продаже имущества должника,</w:t>
      </w:r>
      <w:r w:rsidR="00DC776B" w:rsidRPr="00DC776B">
        <w:rPr>
          <w:sz w:val="20"/>
          <w:szCs w:val="20"/>
        </w:rPr>
        <w:t xml:space="preserve"> 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имущества ОО</w:t>
      </w:r>
      <w:r w:rsidR="00ED0F34">
        <w:rPr>
          <w:sz w:val="20"/>
          <w:szCs w:val="20"/>
        </w:rPr>
        <w:t>О «</w:t>
      </w:r>
      <w:r w:rsidR="000B4EE8">
        <w:rPr>
          <w:sz w:val="20"/>
          <w:szCs w:val="20"/>
        </w:rPr>
        <w:t>Гелинкор</w:t>
      </w:r>
      <w:r w:rsidR="00ED0F34">
        <w:rPr>
          <w:sz w:val="20"/>
          <w:szCs w:val="20"/>
        </w:rPr>
        <w:t>»</w:t>
      </w:r>
      <w:r w:rsidR="00DC776B" w:rsidRPr="00DC776B">
        <w:rPr>
          <w:sz w:val="20"/>
          <w:szCs w:val="20"/>
        </w:rPr>
        <w:t xml:space="preserve"> в составе лота №</w:t>
      </w:r>
      <w:r w:rsidR="00ED0F34">
        <w:rPr>
          <w:sz w:val="20"/>
          <w:szCs w:val="20"/>
        </w:rPr>
        <w:t>___</w:t>
      </w:r>
      <w:r w:rsidR="00DC776B" w:rsidRPr="00DC776B">
        <w:rPr>
          <w:sz w:val="20"/>
          <w:szCs w:val="20"/>
        </w:rPr>
        <w:t>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7486E">
              <w:rPr>
                <w:sz w:val="20"/>
                <w:szCs w:val="20"/>
              </w:rPr>
              <w:t>Дорошин Н.В.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E7486E">
      <w:pPr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8"/>
      <w:headerReference w:type="default" r:id="rId9"/>
      <w:footerReference w:type="even" r:id="rId10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F4" w:rsidRDefault="00F07DF4">
      <w:r>
        <w:separator/>
      </w:r>
    </w:p>
  </w:endnote>
  <w:endnote w:type="continuationSeparator" w:id="0">
    <w:p w:rsidR="00F07DF4" w:rsidRDefault="00F0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F4" w:rsidRDefault="00F07DF4">
      <w:r>
        <w:separator/>
      </w:r>
    </w:p>
  </w:footnote>
  <w:footnote w:type="continuationSeparator" w:id="0">
    <w:p w:rsidR="00F07DF4" w:rsidRDefault="00F07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F06664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E7486E" w:rsidRPr="00274766" w:rsidRDefault="00E7486E">
    <w:pPr>
      <w:pStyle w:val="a8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B4EE8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273A9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52FAF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11956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469DD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CE660C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0F34"/>
    <w:rsid w:val="00ED2E14"/>
    <w:rsid w:val="00F05EE5"/>
    <w:rsid w:val="00F06664"/>
    <w:rsid w:val="00F068D2"/>
    <w:rsid w:val="00F07DF4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3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7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3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7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2019-10-18T14:51:00Z</dcterms:created>
  <dcterms:modified xsi:type="dcterms:W3CDTF">2019-10-18T14:51:00Z</dcterms:modified>
</cp:coreProperties>
</file>