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FB480A" w:rsidRDefault="00FB480A" w:rsidP="00FB480A">
            <w:pPr>
              <w:pStyle w:val="a4"/>
              <w:widowControl w:val="0"/>
              <w:ind w:right="85"/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__</w:t>
            </w:r>
            <w:r w:rsidR="008F652F"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___</w:t>
            </w:r>
            <w:r w:rsidR="0042331D" w:rsidRPr="0042331D">
              <w:rPr>
                <w:szCs w:val="24"/>
              </w:rPr>
              <w:t>.</w:t>
            </w:r>
            <w:r w:rsidR="00F81CA0" w:rsidRPr="0042331D">
              <w:rPr>
                <w:szCs w:val="24"/>
              </w:rPr>
              <w:t>201</w:t>
            </w:r>
            <w:r>
              <w:rPr>
                <w:szCs w:val="24"/>
                <w:lang w:val="en-US"/>
              </w:rPr>
              <w:t>9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8F652F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8F652F">
        <w:rPr>
          <w:b/>
        </w:rPr>
        <w:t>Специализированная организация Общество с ограниченн</w:t>
      </w:r>
      <w:r>
        <w:rPr>
          <w:b/>
        </w:rPr>
        <w:t>ой ответственностью «Ру-Трейд»,</w:t>
      </w:r>
      <w:r w:rsidR="00DD2340">
        <w:rPr>
          <w:b/>
        </w:rPr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="00157E08" w:rsidRPr="0042331D">
        <w:t xml:space="preserve">действующее на основании </w:t>
      </w:r>
      <w:r>
        <w:t>возмездного оказания услуг</w:t>
      </w:r>
      <w:r w:rsidR="00AA64EE">
        <w:t xml:space="preserve"> по подготовке, организации и проведению торгов </w:t>
      </w:r>
      <w:r w:rsidR="003745F2" w:rsidRPr="00F603EF">
        <w:t xml:space="preserve">от </w:t>
      </w:r>
      <w:r w:rsidRPr="008F652F">
        <w:t>30</w:t>
      </w:r>
      <w:r w:rsidR="003745F2" w:rsidRPr="00F603EF">
        <w:t>.</w:t>
      </w:r>
      <w:r>
        <w:t>0</w:t>
      </w:r>
      <w:r w:rsidRPr="008F652F">
        <w:t>7</w:t>
      </w:r>
      <w:r w:rsidR="003745F2" w:rsidRPr="00F603EF">
        <w:t>.201</w:t>
      </w:r>
      <w:r w:rsidR="00AA64EE">
        <w:t>8</w:t>
      </w:r>
      <w:r w:rsidR="00CB5557" w:rsidRPr="00F603EF">
        <w:t>,</w:t>
      </w:r>
      <w:r w:rsidR="00770FF8" w:rsidRPr="0042331D">
        <w:t xml:space="preserve"> </w:t>
      </w:r>
      <w:r w:rsidR="00157E08" w:rsidRPr="0042331D">
        <w:t xml:space="preserve">в лице </w:t>
      </w:r>
      <w:r w:rsidR="00AA64EE" w:rsidRPr="00AA64EE">
        <w:t xml:space="preserve">директора </w:t>
      </w:r>
      <w:r w:rsidRPr="008F652F">
        <w:t>Дробышевского Артема Александровича</w:t>
      </w:r>
      <w:r w:rsidR="00157E08" w:rsidRPr="0042331D">
        <w:t xml:space="preserve">, действующего на основании </w:t>
      </w:r>
      <w:r w:rsidR="0042331D">
        <w:t>Устава</w:t>
      </w:r>
      <w:r w:rsidR="00157E08" w:rsidRPr="0042331D">
        <w:t xml:space="preserve">, </w:t>
      </w:r>
      <w:r w:rsidR="00157E08" w:rsidRPr="0042331D">
        <w:rPr>
          <w:bCs/>
        </w:rPr>
        <w:t>с одной стороны</w:t>
      </w:r>
      <w:r w:rsidR="00157E08"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="00157E08" w:rsidRPr="0042331D">
        <w:t>, именуем</w:t>
      </w:r>
      <w:r w:rsidR="003745F2">
        <w:t>ое</w:t>
      </w:r>
      <w:r w:rsidR="00157E08" w:rsidRPr="0042331D">
        <w:t xml:space="preserve"> в дальнейшем «</w:t>
      </w:r>
      <w:r w:rsidR="005279C2" w:rsidRPr="0042331D">
        <w:rPr>
          <w:b/>
        </w:rPr>
        <w:t>Заявитель</w:t>
      </w:r>
      <w:r w:rsidR="00157E08" w:rsidRPr="0042331D">
        <w:rPr>
          <w:b/>
        </w:rPr>
        <w:t>»</w:t>
      </w:r>
      <w:r w:rsidR="00157E08"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="00157E08" w:rsidRPr="0042331D">
        <w:t xml:space="preserve"> </w:t>
      </w:r>
      <w:r w:rsidR="00236E8D">
        <w:t xml:space="preserve">действующего </w:t>
      </w:r>
      <w:r w:rsidR="00157E08" w:rsidRPr="0042331D">
        <w:t xml:space="preserve">на основании </w:t>
      </w:r>
      <w:r w:rsidR="00AA51CD">
        <w:t>________</w:t>
      </w:r>
      <w:r w:rsidR="00157E08"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="00157E08"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053838">
        <w:t xml:space="preserve">Должника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AA64EE">
        <w:t>Открытого акционерного общества</w:t>
      </w:r>
      <w:r w:rsidR="00AA64EE" w:rsidRPr="00AA64EE">
        <w:t xml:space="preserve"> «Внешн</w:t>
      </w:r>
      <w:r w:rsidR="00833921">
        <w:t>еэкономическое объединение «Тех</w:t>
      </w:r>
      <w:r w:rsidR="00AA64EE" w:rsidRPr="00AA64EE">
        <w:t xml:space="preserve">нопромэкспорт», </w:t>
      </w:r>
      <w:r w:rsidR="0015217F">
        <w:t xml:space="preserve">(далее – Должник) </w:t>
      </w:r>
      <w:r w:rsidR="00837F44">
        <w:t xml:space="preserve">в форме </w:t>
      </w:r>
      <w:r w:rsidR="00846C5E">
        <w:t>открытого аукциона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«Коммерсантъ» </w:t>
      </w:r>
      <w:r w:rsidR="001211CE">
        <w:t>___________</w:t>
      </w:r>
      <w:r w:rsidRPr="0042331D">
        <w:t xml:space="preserve">, </w:t>
      </w:r>
      <w:r w:rsidR="005279C2" w:rsidRPr="0042331D">
        <w:t xml:space="preserve">в </w:t>
      </w:r>
      <w:r w:rsidR="00AA64EE">
        <w:t>газете</w:t>
      </w:r>
      <w:r w:rsidR="007E34E3">
        <w:t xml:space="preserve"> «Московск</w:t>
      </w:r>
      <w:r w:rsidR="00AA64EE">
        <w:t>ая</w:t>
      </w:r>
      <w:r w:rsidR="007E34E3">
        <w:t xml:space="preserve"> </w:t>
      </w:r>
      <w:r w:rsidR="00AA64EE">
        <w:t>правда</w:t>
      </w:r>
      <w:r w:rsidR="007E34E3">
        <w:t>»</w:t>
      </w:r>
      <w:r w:rsidR="00DF75D9">
        <w:t>_____________</w:t>
      </w:r>
      <w:r w:rsidR="00B24D2D">
        <w:t xml:space="preserve">, </w:t>
      </w:r>
      <w:r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Pr="0042331D">
        <w:t>на электронной площадк</w:t>
      </w:r>
      <w:r w:rsidR="00712D4F" w:rsidRPr="0042331D">
        <w:t>е</w:t>
      </w:r>
      <w:r w:rsidRPr="0042331D">
        <w:t xml:space="preserve"> </w:t>
      </w:r>
      <w:r w:rsidR="00AA64EE">
        <w:t xml:space="preserve">ООО "Ру-Трейд", </w:t>
      </w:r>
      <w:r w:rsidR="00AA64EE" w:rsidRPr="00AA64EE">
        <w:t>размещенной в сети Интернет по адресу: http:/</w:t>
      </w:r>
      <w:r w:rsidR="00833921">
        <w:t>/www.ru-trade24.ru/</w:t>
      </w:r>
      <w:r w:rsidRPr="0042331D">
        <w:t>,</w:t>
      </w:r>
      <w:r w:rsidR="006B3826">
        <w:t xml:space="preserve"> </w:t>
      </w:r>
      <w:r w:rsidR="006B3826" w:rsidRPr="006B3826">
        <w:t xml:space="preserve">в части торгов по продаже имущества </w:t>
      </w:r>
      <w:r w:rsidR="00833921">
        <w:t>Должника</w:t>
      </w:r>
      <w:r w:rsidR="006B3826" w:rsidRPr="006B3826">
        <w:t xml:space="preserve"> в составе лота __(указать номер лота)  с начальной ценой продажи ____________ руб.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</w:t>
      </w:r>
      <w:r w:rsidRPr="0042331D">
        <w:lastRenderedPageBreak/>
        <w:t xml:space="preserve">установленный 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t>специальный счет Должника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к участию в торгах</w:t>
      </w:r>
      <w:r w:rsidRPr="0042331D">
        <w:t>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>специальный счет Должника</w:t>
      </w:r>
      <w:r w:rsidRPr="0042331D">
        <w:t xml:space="preserve"> согласно следующим реквизитам: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833921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 xml:space="preserve">40702810900004004944 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833921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</w:t>
            </w:r>
            <w:r w:rsidRPr="00833921">
              <w:rPr>
                <w:sz w:val="22"/>
                <w:szCs w:val="22"/>
              </w:rPr>
              <w:t xml:space="preserve"> «ВБРР» (АО)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833921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044525880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833921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>30101810900000000880</w:t>
            </w:r>
            <w:r>
              <w:t xml:space="preserve"> </w:t>
            </w:r>
            <w:r w:rsidRPr="00833921">
              <w:rPr>
                <w:sz w:val="22"/>
                <w:szCs w:val="22"/>
              </w:rPr>
              <w:t>в ГУ Банка России по ЦФО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833921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Открытое акционерное общество</w:t>
            </w:r>
            <w:r w:rsidRPr="00833921">
              <w:rPr>
                <w:bCs/>
                <w:sz w:val="22"/>
                <w:szCs w:val="22"/>
              </w:rPr>
              <w:t xml:space="preserve"> «Внешн</w:t>
            </w:r>
            <w:r>
              <w:rPr>
                <w:bCs/>
                <w:sz w:val="22"/>
                <w:szCs w:val="22"/>
              </w:rPr>
              <w:t>еэкономическое объединение «Тех</w:t>
            </w:r>
            <w:r w:rsidR="00D2204B">
              <w:rPr>
                <w:bCs/>
                <w:sz w:val="22"/>
                <w:szCs w:val="22"/>
              </w:rPr>
              <w:t>нопромэкспорт»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833921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7705713236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83392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sz w:val="22"/>
                <w:szCs w:val="22"/>
              </w:rPr>
              <w:t>770401001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833921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bCs/>
                <w:sz w:val="22"/>
                <w:szCs w:val="22"/>
              </w:rPr>
              <w:t>Задаток для участия в торгах по продаже имущества ОАО «ВО «Технопромэкспорт» в составе лота № (указать номер лота), без НДС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</w:t>
      </w:r>
      <w:r w:rsidR="00687BD2" w:rsidRPr="0042331D">
        <w:rPr>
          <w:sz w:val="24"/>
          <w:szCs w:val="24"/>
        </w:rPr>
        <w:t>на дату составления Организатором торгов протокола об определении участников торгов</w:t>
      </w:r>
      <w:r w:rsidR="00790B9B" w:rsidRPr="0042331D">
        <w:rPr>
          <w:sz w:val="24"/>
          <w:szCs w:val="24"/>
        </w:rPr>
        <w:t>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</w:t>
      </w:r>
      <w:r w:rsidRPr="0042331D">
        <w:rPr>
          <w:sz w:val="24"/>
          <w:szCs w:val="24"/>
        </w:rPr>
        <w:lastRenderedPageBreak/>
        <w:t xml:space="preserve">подтверждающим поступление денежных средств на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, является выписка обслуживающего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банка.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7541F7">
        <w:t>Должник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задатка: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:rsidR="00157E08" w:rsidRPr="00FC54A4" w:rsidRDefault="00157E08" w:rsidP="00FC54A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</w:t>
      </w:r>
      <w:r w:rsidR="00FC54A4">
        <w:t xml:space="preserve">оговоров купли-продажи имущества, </w:t>
      </w:r>
      <w:r w:rsidR="00FC54A4" w:rsidRPr="00FC54A4">
        <w:t>в</w:t>
      </w:r>
      <w:r w:rsidR="00FC54A4">
        <w:t xml:space="preserve">ходящего в </w:t>
      </w:r>
      <w:r w:rsidR="00FC54A4" w:rsidRPr="00FC54A4">
        <w:t>лоты №6, №9</w:t>
      </w:r>
      <w:r w:rsidR="00FC54A4">
        <w:t>,</w:t>
      </w:r>
      <w:r w:rsidR="00FC54A4" w:rsidRPr="00FC54A4">
        <w:t xml:space="preserve"> торг</w:t>
      </w:r>
      <w:r w:rsidR="00FC54A4">
        <w:t>и</w:t>
      </w:r>
      <w:r w:rsidR="00FC54A4" w:rsidRPr="00FC54A4">
        <w:t xml:space="preserve"> по продаже котор</w:t>
      </w:r>
      <w:r w:rsidR="00FC54A4">
        <w:t>ого</w:t>
      </w:r>
      <w:r w:rsidR="00FC54A4" w:rsidRPr="00FC54A4">
        <w:t xml:space="preserve"> опубликованы в газете</w:t>
      </w:r>
      <w:r w:rsidR="00FC54A4">
        <w:t xml:space="preserve"> «КоммерсантЪ» (объявление </w:t>
      </w:r>
      <w:r w:rsidR="00FC54A4" w:rsidRPr="00FC54A4">
        <w:t>№ 77032892101</w:t>
      </w:r>
      <w:r w:rsidR="00FB480A" w:rsidRPr="00FB480A">
        <w:t xml:space="preserve"> </w:t>
      </w:r>
      <w:r w:rsidR="00FB480A">
        <w:t>от 02.02.2019</w:t>
      </w:r>
      <w:bookmarkStart w:id="0" w:name="_GoBack"/>
      <w:bookmarkEnd w:id="0"/>
      <w:r w:rsidR="00FC54A4" w:rsidRPr="00FC54A4">
        <w:t xml:space="preserve"> стр. 33</w:t>
      </w:r>
      <w:r w:rsidR="00FC54A4">
        <w:t>).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>специальный счет Должника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:rsidR="00157E08" w:rsidRPr="0042331D" w:rsidRDefault="00157E08" w:rsidP="00953679">
      <w:pPr>
        <w:pStyle w:val="3"/>
        <w:spacing w:line="360" w:lineRule="auto"/>
        <w:ind w:firstLine="709"/>
      </w:pPr>
      <w:r w:rsidRPr="0042331D">
        <w:lastRenderedPageBreak/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730BFC" w:rsidRPr="0042331D" w:rsidTr="00F1185E">
        <w:trPr>
          <w:trHeight w:val="384"/>
          <w:jc w:val="center"/>
        </w:trPr>
        <w:tc>
          <w:tcPr>
            <w:tcW w:w="4785" w:type="dxa"/>
          </w:tcPr>
          <w:p w:rsidR="00F1185E" w:rsidRDefault="00F1185E" w:rsidP="00C31C22">
            <w:pPr>
              <w:widowControl w:val="0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:rsidR="00157E08" w:rsidRPr="008F652F" w:rsidRDefault="008F652F" w:rsidP="00C31C22">
            <w:pPr>
              <w:widowControl w:val="0"/>
              <w:rPr>
                <w:b/>
              </w:rPr>
            </w:pPr>
            <w:r w:rsidRPr="008F652F">
              <w:rPr>
                <w:b/>
              </w:rPr>
              <w:t>ООО «Ру-Трейд»</w:t>
            </w:r>
          </w:p>
        </w:tc>
        <w:tc>
          <w:tcPr>
            <w:tcW w:w="4569" w:type="dxa"/>
          </w:tcPr>
          <w:p w:rsidR="00157E08" w:rsidRPr="0042331D" w:rsidRDefault="00F1185E" w:rsidP="00F1185E">
            <w:pPr>
              <w:widowControl w:val="0"/>
            </w:pPr>
            <w:r w:rsidRPr="0042331D">
              <w:rPr>
                <w:b/>
              </w:rPr>
              <w:t>Заявитель</w:t>
            </w:r>
            <w:r>
              <w:rPr>
                <w:b/>
              </w:rPr>
              <w:t>:</w:t>
            </w:r>
          </w:p>
        </w:tc>
      </w:tr>
      <w:tr w:rsidR="002F6500" w:rsidRPr="0042331D" w:rsidTr="00DD2340">
        <w:trPr>
          <w:trHeight w:val="52"/>
          <w:jc w:val="center"/>
        </w:trPr>
        <w:tc>
          <w:tcPr>
            <w:tcW w:w="4785" w:type="dxa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569" w:type="dxa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DD2340">
        <w:trPr>
          <w:trHeight w:val="279"/>
          <w:jc w:val="center"/>
        </w:trPr>
        <w:tc>
          <w:tcPr>
            <w:tcW w:w="4785" w:type="dxa"/>
          </w:tcPr>
          <w:p w:rsidR="00157E08" w:rsidRPr="00F1185E" w:rsidRDefault="00F1185E" w:rsidP="00C31C22">
            <w:pPr>
              <w:widowControl w:val="0"/>
              <w:autoSpaceDE w:val="0"/>
              <w:autoSpaceDN w:val="0"/>
              <w:adjustRightInd w:val="0"/>
            </w:pPr>
            <w:r>
              <w:t xml:space="preserve">Адрес: </w:t>
            </w:r>
            <w:r w:rsidRPr="00F1185E">
              <w:t>129344, г. Москва, ул. Енисейская, д. 1, стр. 8, эт. 2, пом. 14</w:t>
            </w:r>
          </w:p>
        </w:tc>
        <w:tc>
          <w:tcPr>
            <w:tcW w:w="4569" w:type="dxa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DD2340" w:rsidRPr="0042331D" w:rsidTr="00DD2340">
        <w:trPr>
          <w:trHeight w:val="52"/>
          <w:jc w:val="center"/>
        </w:trPr>
        <w:tc>
          <w:tcPr>
            <w:tcW w:w="4785" w:type="dxa"/>
          </w:tcPr>
          <w:p w:rsidR="00F1185E" w:rsidRDefault="00F1185E" w:rsidP="00F1185E">
            <w:pPr>
              <w:widowControl w:val="0"/>
            </w:pPr>
            <w:r>
              <w:t xml:space="preserve">ОГРН: </w:t>
            </w:r>
            <w:r w:rsidRPr="00F1185E">
              <w:t>1125658038021</w:t>
            </w:r>
          </w:p>
          <w:p w:rsidR="00DD2340" w:rsidRDefault="00F1185E" w:rsidP="00F1185E">
            <w:pPr>
              <w:widowControl w:val="0"/>
            </w:pPr>
            <w:r>
              <w:t xml:space="preserve">ИНН: </w:t>
            </w:r>
            <w:r w:rsidRPr="00F1185E">
              <w:t>5610149787</w:t>
            </w:r>
          </w:p>
          <w:p w:rsidR="00F1185E" w:rsidRDefault="00F1185E" w:rsidP="00F1185E">
            <w:pPr>
              <w:widowControl w:val="0"/>
            </w:pPr>
            <w:r>
              <w:t xml:space="preserve">КПП: </w:t>
            </w:r>
            <w:r w:rsidRPr="00F1185E">
              <w:tab/>
              <w:t>771601001</w:t>
            </w:r>
          </w:p>
          <w:p w:rsidR="00F1185E" w:rsidRDefault="00F1185E" w:rsidP="00F1185E">
            <w:pPr>
              <w:widowControl w:val="0"/>
            </w:pPr>
            <w:r>
              <w:t xml:space="preserve">р/с № </w:t>
            </w:r>
            <w:r w:rsidRPr="00F1185E">
              <w:t>40702810001300013924</w:t>
            </w:r>
            <w:r>
              <w:t xml:space="preserve"> </w:t>
            </w:r>
          </w:p>
          <w:p w:rsidR="00F1185E" w:rsidRDefault="00F1185E" w:rsidP="00F1185E">
            <w:pPr>
              <w:widowControl w:val="0"/>
            </w:pPr>
            <w:r>
              <w:t>Банк: АО «АЛЬФА-БАНК»</w:t>
            </w:r>
          </w:p>
          <w:p w:rsidR="00F1185E" w:rsidRPr="002768C2" w:rsidRDefault="00F1185E" w:rsidP="00F1185E">
            <w:pPr>
              <w:widowControl w:val="0"/>
            </w:pPr>
            <w:r>
              <w:t xml:space="preserve">к/с № </w:t>
            </w:r>
            <w:r w:rsidRPr="00F1185E">
              <w:t>30101810200000000593</w:t>
            </w:r>
          </w:p>
        </w:tc>
        <w:tc>
          <w:tcPr>
            <w:tcW w:w="4569" w:type="dxa"/>
          </w:tcPr>
          <w:p w:rsidR="008F652F" w:rsidRPr="00F1185E" w:rsidRDefault="008F652F" w:rsidP="00DD2340">
            <w:pPr>
              <w:widowControl w:val="0"/>
              <w:jc w:val="both"/>
            </w:pPr>
          </w:p>
          <w:p w:rsidR="00DD2340" w:rsidRPr="0042331D" w:rsidRDefault="00DD2340" w:rsidP="00DD2340">
            <w:pPr>
              <w:widowControl w:val="0"/>
              <w:jc w:val="both"/>
            </w:pPr>
            <w:r>
              <w:t>О</w:t>
            </w:r>
            <w:r w:rsidRPr="0042331D">
              <w:t>Г</w:t>
            </w:r>
            <w:r>
              <w:t>Р</w:t>
            </w:r>
            <w:r w:rsidRPr="0042331D">
              <w:t>Н</w:t>
            </w:r>
          </w:p>
          <w:p w:rsidR="00DD2340" w:rsidRPr="0042331D" w:rsidRDefault="00DD2340" w:rsidP="00DD2340">
            <w:pPr>
              <w:widowControl w:val="0"/>
              <w:jc w:val="both"/>
            </w:pPr>
            <w:r w:rsidRPr="0042331D">
              <w:t>ИНН</w:t>
            </w:r>
          </w:p>
          <w:p w:rsidR="00DD2340" w:rsidRPr="0042331D" w:rsidRDefault="00DD2340" w:rsidP="00DD2340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DD2340" w:rsidRPr="0042331D" w:rsidTr="00DD2340">
        <w:trPr>
          <w:trHeight w:val="669"/>
          <w:jc w:val="center"/>
        </w:trPr>
        <w:tc>
          <w:tcPr>
            <w:tcW w:w="4785" w:type="dxa"/>
          </w:tcPr>
          <w:p w:rsidR="00DD2340" w:rsidRPr="002768C2" w:rsidRDefault="00DD2340" w:rsidP="00DD2340">
            <w:pPr>
              <w:pStyle w:val="ae"/>
            </w:pPr>
          </w:p>
          <w:p w:rsidR="00DD2340" w:rsidRPr="002768C2" w:rsidRDefault="00370C49" w:rsidP="00DD2340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D2340" w:rsidRPr="002768C2">
              <w:rPr>
                <w:rFonts w:ascii="Times New Roman" w:hAnsi="Times New Roman" w:cs="Times New Roman"/>
              </w:rPr>
              <w:t>иректор</w:t>
            </w:r>
          </w:p>
          <w:p w:rsidR="00DD2340" w:rsidRPr="002768C2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</w:p>
          <w:p w:rsidR="00DD2340" w:rsidRPr="002768C2" w:rsidRDefault="00DD2340" w:rsidP="00DD2340">
            <w:pPr>
              <w:pStyle w:val="ae"/>
            </w:pPr>
            <w:r w:rsidRPr="002768C2">
              <w:rPr>
                <w:rFonts w:ascii="Times New Roman" w:hAnsi="Times New Roman" w:cs="Times New Roman"/>
              </w:rPr>
              <w:t>___________________</w:t>
            </w:r>
            <w:r w:rsidR="00F1185E">
              <w:t xml:space="preserve"> </w:t>
            </w:r>
            <w:r w:rsidR="00F1185E" w:rsidRPr="00F1185E">
              <w:rPr>
                <w:rFonts w:ascii="Times New Roman" w:hAnsi="Times New Roman" w:cs="Times New Roman"/>
              </w:rPr>
              <w:t>Дробышевский А.А.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4569" w:type="dxa"/>
          </w:tcPr>
          <w:p w:rsidR="00DD2340" w:rsidRDefault="00DD2340" w:rsidP="00DD2340">
            <w:pPr>
              <w:widowControl w:val="0"/>
              <w:jc w:val="both"/>
            </w:pPr>
          </w:p>
          <w:p w:rsidR="00DD2340" w:rsidRPr="00DD2340" w:rsidRDefault="00DD2340" w:rsidP="00DD2340"/>
          <w:p w:rsidR="00DD2340" w:rsidRPr="00DD2340" w:rsidRDefault="00DD2340" w:rsidP="00DD2340">
            <w:r>
              <w:t>_________________/__________/</w:t>
            </w:r>
          </w:p>
        </w:tc>
      </w:tr>
      <w:tr w:rsidR="00DD2340" w:rsidRPr="0042331D" w:rsidTr="00DD2340">
        <w:trPr>
          <w:trHeight w:val="52"/>
          <w:jc w:val="center"/>
        </w:trPr>
        <w:tc>
          <w:tcPr>
            <w:tcW w:w="4785" w:type="dxa"/>
          </w:tcPr>
          <w:p w:rsidR="00DD2340" w:rsidRPr="0042331D" w:rsidRDefault="00DD2340" w:rsidP="00DD2340">
            <w:pPr>
              <w:widowControl w:val="0"/>
            </w:pPr>
          </w:p>
        </w:tc>
        <w:tc>
          <w:tcPr>
            <w:tcW w:w="4569" w:type="dxa"/>
          </w:tcPr>
          <w:p w:rsidR="00DD2340" w:rsidRPr="0042331D" w:rsidRDefault="00DD2340" w:rsidP="00DD2340">
            <w:pPr>
              <w:widowControl w:val="0"/>
            </w:pPr>
            <w:r>
              <w:t>М.П.</w:t>
            </w:r>
          </w:p>
        </w:tc>
      </w:tr>
    </w:tbl>
    <w:p w:rsidR="00157E08" w:rsidRPr="0042331D" w:rsidRDefault="00DD2340" w:rsidP="007B2DA2">
      <w:pPr>
        <w:widowControl w:val="0"/>
        <w:jc w:val="both"/>
      </w:pPr>
      <w:r>
        <w:t>М.П.</w:t>
      </w:r>
    </w:p>
    <w:sectPr w:rsidR="00157E08" w:rsidRPr="0042331D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110" w:rsidRDefault="009C6110">
      <w:r>
        <w:separator/>
      </w:r>
    </w:p>
  </w:endnote>
  <w:endnote w:type="continuationSeparator" w:id="0">
    <w:p w:rsidR="009C6110" w:rsidRDefault="009C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EE" w:rsidRDefault="00AA64EE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4EE" w:rsidRDefault="00AA64E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EE" w:rsidRDefault="00AA64E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EE" w:rsidRDefault="00AA64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110" w:rsidRDefault="009C6110">
      <w:r>
        <w:separator/>
      </w:r>
    </w:p>
  </w:footnote>
  <w:footnote w:type="continuationSeparator" w:id="0">
    <w:p w:rsidR="009C6110" w:rsidRDefault="009C6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EE" w:rsidRDefault="00AA64E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4EE" w:rsidRDefault="00AA64E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EE" w:rsidRPr="00274766" w:rsidRDefault="00AA64EE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FB480A">
      <w:rPr>
        <w:rFonts w:ascii="Calibri" w:hAnsi="Calibri" w:cs="Calibri"/>
        <w:noProof/>
      </w:rPr>
      <w:t>3</w:t>
    </w:r>
    <w:r w:rsidRPr="00274766">
      <w:rPr>
        <w:rFonts w:ascii="Calibri" w:hAnsi="Calibri" w:cs="Calibri"/>
      </w:rPr>
      <w:fldChar w:fldCharType="end"/>
    </w:r>
  </w:p>
  <w:p w:rsidR="00AA64EE" w:rsidRPr="00274766" w:rsidRDefault="00AA64EE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EE" w:rsidRDefault="00AA64E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84557"/>
    <w:rsid w:val="00085C72"/>
    <w:rsid w:val="000B0625"/>
    <w:rsid w:val="000E24EA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6589E"/>
    <w:rsid w:val="00274766"/>
    <w:rsid w:val="002B3560"/>
    <w:rsid w:val="002C5BB9"/>
    <w:rsid w:val="002F6500"/>
    <w:rsid w:val="003239FC"/>
    <w:rsid w:val="003352A2"/>
    <w:rsid w:val="003353B7"/>
    <w:rsid w:val="003610E6"/>
    <w:rsid w:val="003626CB"/>
    <w:rsid w:val="00363495"/>
    <w:rsid w:val="00370C49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90B9B"/>
    <w:rsid w:val="007A566B"/>
    <w:rsid w:val="007B2DA2"/>
    <w:rsid w:val="007B77CF"/>
    <w:rsid w:val="007E34E3"/>
    <w:rsid w:val="00810AEE"/>
    <w:rsid w:val="008313A1"/>
    <w:rsid w:val="00833921"/>
    <w:rsid w:val="00837F44"/>
    <w:rsid w:val="00846C5E"/>
    <w:rsid w:val="008F652F"/>
    <w:rsid w:val="009032C9"/>
    <w:rsid w:val="00904CFC"/>
    <w:rsid w:val="00921CB3"/>
    <w:rsid w:val="00953679"/>
    <w:rsid w:val="00995EC7"/>
    <w:rsid w:val="009B6211"/>
    <w:rsid w:val="009C6110"/>
    <w:rsid w:val="009F78F1"/>
    <w:rsid w:val="00A14CDC"/>
    <w:rsid w:val="00A8546C"/>
    <w:rsid w:val="00AA51CD"/>
    <w:rsid w:val="00AA64EE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C1046E"/>
    <w:rsid w:val="00C31C22"/>
    <w:rsid w:val="00C95CFD"/>
    <w:rsid w:val="00CB3004"/>
    <w:rsid w:val="00CB5557"/>
    <w:rsid w:val="00CF6565"/>
    <w:rsid w:val="00D036BA"/>
    <w:rsid w:val="00D2204B"/>
    <w:rsid w:val="00D2447E"/>
    <w:rsid w:val="00D374C3"/>
    <w:rsid w:val="00D41D78"/>
    <w:rsid w:val="00D66DAE"/>
    <w:rsid w:val="00D76734"/>
    <w:rsid w:val="00D85BEF"/>
    <w:rsid w:val="00DB6000"/>
    <w:rsid w:val="00DC0CD2"/>
    <w:rsid w:val="00DD0B54"/>
    <w:rsid w:val="00DD2340"/>
    <w:rsid w:val="00DF031F"/>
    <w:rsid w:val="00DF75D9"/>
    <w:rsid w:val="00DF76C2"/>
    <w:rsid w:val="00E10B0B"/>
    <w:rsid w:val="00E21C8A"/>
    <w:rsid w:val="00E27568"/>
    <w:rsid w:val="00E46DC9"/>
    <w:rsid w:val="00E60D66"/>
    <w:rsid w:val="00E9029B"/>
    <w:rsid w:val="00E9574A"/>
    <w:rsid w:val="00EA448B"/>
    <w:rsid w:val="00ED1192"/>
    <w:rsid w:val="00F068D2"/>
    <w:rsid w:val="00F1185E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B480A"/>
    <w:rsid w:val="00FC54A4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42A8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9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B3C1B19A</Template>
  <TotalTime>0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6660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2018-08-03T08:12:00Z</dcterms:created>
  <dcterms:modified xsi:type="dcterms:W3CDTF">2019-02-01T14:12:00Z</dcterms:modified>
</cp:coreProperties>
</file>