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8F652F" w:rsidRDefault="008F652F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 w:rsidRPr="008F652F">
              <w:rPr>
                <w:szCs w:val="24"/>
              </w:rPr>
              <w:t>03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08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201</w:t>
            </w:r>
            <w:r w:rsidR="00810AEE">
              <w:rPr>
                <w:szCs w:val="24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proofErr w:type="gramStart"/>
      <w:r w:rsidRPr="008F652F">
        <w:rPr>
          <w:b/>
        </w:rPr>
        <w:t>Специализированная организация Общество с ограниченн</w:t>
      </w:r>
      <w:r>
        <w:rPr>
          <w:b/>
        </w:rPr>
        <w:t>ой ответственностью «</w:t>
      </w:r>
      <w:proofErr w:type="spellStart"/>
      <w:r>
        <w:rPr>
          <w:b/>
        </w:rPr>
        <w:t>Ру</w:t>
      </w:r>
      <w:proofErr w:type="spellEnd"/>
      <w:r>
        <w:rPr>
          <w:b/>
        </w:rPr>
        <w:t>-Трейд»,</w:t>
      </w:r>
      <w:r w:rsidR="00DD2340"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 xml:space="preserve">действующее на основании </w:t>
      </w:r>
      <w:r>
        <w:t>возмездного оказания услуг</w:t>
      </w:r>
      <w:r w:rsidR="00AA64EE">
        <w:t xml:space="preserve"> по подготовке, организации и проведению торгов </w:t>
      </w:r>
      <w:r w:rsidR="003745F2" w:rsidRPr="00F603EF">
        <w:t xml:space="preserve">от </w:t>
      </w:r>
      <w:r w:rsidRPr="008F652F">
        <w:t>30</w:t>
      </w:r>
      <w:r w:rsidR="003745F2" w:rsidRPr="00F603EF">
        <w:t>.</w:t>
      </w:r>
      <w:r>
        <w:t>0</w:t>
      </w:r>
      <w:r w:rsidRPr="008F652F">
        <w:t>7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 xml:space="preserve">директора </w:t>
      </w:r>
      <w:proofErr w:type="spellStart"/>
      <w:r w:rsidRPr="008F652F">
        <w:t>Дробышевского</w:t>
      </w:r>
      <w:proofErr w:type="spellEnd"/>
      <w:r w:rsidRPr="008F652F">
        <w:t xml:space="preserve"> Артема Александровича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</w:t>
      </w:r>
      <w:proofErr w:type="gramEnd"/>
      <w:r w:rsidR="00F71047" w:rsidRPr="0042331D">
        <w:t>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 xml:space="preserve">в форме </w:t>
      </w:r>
      <w:r w:rsidR="00846C5E">
        <w:t>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AA64EE">
        <w:t>газете</w:t>
      </w:r>
      <w:r w:rsidR="007E34E3">
        <w:t xml:space="preserve"> «</w:t>
      </w:r>
      <w:proofErr w:type="gramStart"/>
      <w:r w:rsidR="007E34E3">
        <w:t>Московск</w:t>
      </w:r>
      <w:r w:rsidR="00AA64EE">
        <w:t>ая</w:t>
      </w:r>
      <w:proofErr w:type="gramEnd"/>
      <w:r w:rsidR="007E34E3">
        <w:t xml:space="preserve"> </w:t>
      </w:r>
      <w:r w:rsidR="00AA64EE">
        <w:t>правда</w:t>
      </w:r>
      <w:r w:rsidR="007E34E3">
        <w:t>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>ООО "</w:t>
      </w:r>
      <w:proofErr w:type="spellStart"/>
      <w:r w:rsidR="00AA64EE">
        <w:t>Ру</w:t>
      </w:r>
      <w:proofErr w:type="spellEnd"/>
      <w:r w:rsidR="00AA64EE">
        <w:t xml:space="preserve">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</w:t>
      </w:r>
      <w:r w:rsidRPr="0042331D">
        <w:lastRenderedPageBreak/>
        <w:t xml:space="preserve">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 xml:space="preserve">40702810900004004944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83392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83392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30101810900000000880</w:t>
            </w:r>
            <w:r>
              <w:t xml:space="preserve"> </w:t>
            </w:r>
            <w:r w:rsidRPr="00833921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83392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7705713236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83392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770401001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>м будет считаться исполненной исключительно с момента зачисления (поступления) денежных сре</w:t>
      </w:r>
      <w:proofErr w:type="gramStart"/>
      <w:r w:rsidRPr="0042331D">
        <w:rPr>
          <w:sz w:val="24"/>
          <w:szCs w:val="24"/>
        </w:rPr>
        <w:t>дств в п</w:t>
      </w:r>
      <w:proofErr w:type="gramEnd"/>
      <w:r w:rsidRPr="0042331D">
        <w:rPr>
          <w:sz w:val="24"/>
          <w:szCs w:val="24"/>
        </w:rPr>
        <w:t xml:space="preserve">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</w:t>
      </w:r>
      <w:r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11.2. Если Заявителем подана новая заявка без отзыва </w:t>
      </w:r>
      <w:proofErr w:type="gramStart"/>
      <w:r w:rsidRPr="0042331D">
        <w:t>первоначальной</w:t>
      </w:r>
      <w:proofErr w:type="gramEnd"/>
      <w:r w:rsidRPr="0042331D">
        <w:t>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bookmarkStart w:id="0" w:name="_GoBack"/>
      <w:bookmarkEnd w:id="0"/>
      <w:r w:rsidR="000366DF" w:rsidRPr="0042331D">
        <w:lastRenderedPageBreak/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:rsidTr="00F1185E">
        <w:trPr>
          <w:trHeight w:val="384"/>
          <w:jc w:val="center"/>
        </w:trPr>
        <w:tc>
          <w:tcPr>
            <w:tcW w:w="4785" w:type="dxa"/>
          </w:tcPr>
          <w:p w:rsidR="00F1185E" w:rsidRDefault="00F1185E" w:rsidP="00C31C22">
            <w:pPr>
              <w:widowControl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57E08" w:rsidRPr="008F652F" w:rsidRDefault="008F652F" w:rsidP="00C31C22">
            <w:pPr>
              <w:widowControl w:val="0"/>
              <w:rPr>
                <w:b/>
              </w:rPr>
            </w:pPr>
            <w:r w:rsidRPr="008F652F">
              <w:rPr>
                <w:b/>
              </w:rPr>
              <w:t>ООО «</w:t>
            </w:r>
            <w:proofErr w:type="spellStart"/>
            <w:r w:rsidRPr="008F652F">
              <w:rPr>
                <w:b/>
              </w:rPr>
              <w:t>Ру</w:t>
            </w:r>
            <w:proofErr w:type="spellEnd"/>
            <w:r w:rsidRPr="008F652F">
              <w:rPr>
                <w:b/>
              </w:rPr>
              <w:t>-Трейд»</w:t>
            </w:r>
          </w:p>
        </w:tc>
        <w:tc>
          <w:tcPr>
            <w:tcW w:w="4569" w:type="dxa"/>
          </w:tcPr>
          <w:p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F1185E" w:rsidRDefault="00F1185E" w:rsidP="00C31C22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r w:rsidRPr="00F1185E">
              <w:t xml:space="preserve">129344, г. Москва, ул. Енисейская, д. 1, стр. 8, </w:t>
            </w:r>
            <w:proofErr w:type="spellStart"/>
            <w:r w:rsidRPr="00F1185E">
              <w:t>эт</w:t>
            </w:r>
            <w:proofErr w:type="spellEnd"/>
            <w:r w:rsidRPr="00F1185E">
              <w:t>. 2, пом. 14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F1185E" w:rsidRDefault="00F1185E" w:rsidP="00F1185E">
            <w:pPr>
              <w:widowControl w:val="0"/>
            </w:pPr>
            <w:r>
              <w:t xml:space="preserve">ОГРН: </w:t>
            </w:r>
            <w:r w:rsidRPr="00F1185E">
              <w:t>1125658038021</w:t>
            </w:r>
          </w:p>
          <w:p w:rsidR="00DD2340" w:rsidRDefault="00F1185E" w:rsidP="00F1185E">
            <w:pPr>
              <w:widowControl w:val="0"/>
            </w:pPr>
            <w:r>
              <w:t xml:space="preserve">ИНН: </w:t>
            </w:r>
            <w:r w:rsidRPr="00F1185E">
              <w:t>5610149787</w:t>
            </w:r>
          </w:p>
          <w:p w:rsidR="00F1185E" w:rsidRDefault="00F1185E" w:rsidP="00F1185E">
            <w:pPr>
              <w:widowControl w:val="0"/>
            </w:pPr>
            <w:r>
              <w:t xml:space="preserve">КПП: </w:t>
            </w:r>
            <w:r w:rsidRPr="00F1185E">
              <w:tab/>
              <w:t>771601001</w:t>
            </w:r>
          </w:p>
          <w:p w:rsidR="00F1185E" w:rsidRDefault="00F1185E" w:rsidP="00F1185E">
            <w:pPr>
              <w:widowControl w:val="0"/>
            </w:pPr>
            <w:proofErr w:type="gramStart"/>
            <w:r>
              <w:t>р</w:t>
            </w:r>
            <w:proofErr w:type="gramEnd"/>
            <w:r>
              <w:t xml:space="preserve">/с № </w:t>
            </w:r>
            <w:r w:rsidRPr="00F1185E">
              <w:t>40702810001300013924</w:t>
            </w:r>
            <w:r>
              <w:t xml:space="preserve"> </w:t>
            </w:r>
          </w:p>
          <w:p w:rsidR="00F1185E" w:rsidRDefault="00F1185E" w:rsidP="00F1185E">
            <w:pPr>
              <w:widowControl w:val="0"/>
            </w:pPr>
            <w:r>
              <w:t>Банк: АО «АЛЬФА-БАНК»</w:t>
            </w:r>
          </w:p>
          <w:p w:rsidR="00F1185E" w:rsidRPr="002768C2" w:rsidRDefault="00F1185E" w:rsidP="00F1185E">
            <w:pPr>
              <w:widowControl w:val="0"/>
            </w:pPr>
            <w:r>
              <w:t xml:space="preserve">к/с № </w:t>
            </w:r>
            <w:r w:rsidRPr="00F1185E">
              <w:t>30101810200000000593</w:t>
            </w:r>
          </w:p>
        </w:tc>
        <w:tc>
          <w:tcPr>
            <w:tcW w:w="4569" w:type="dxa"/>
          </w:tcPr>
          <w:p w:rsidR="008F652F" w:rsidRPr="00F1185E" w:rsidRDefault="008F652F" w:rsidP="00DD2340">
            <w:pPr>
              <w:widowControl w:val="0"/>
              <w:jc w:val="both"/>
            </w:pPr>
          </w:p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370C49" w:rsidP="00DD23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D2340" w:rsidRPr="002768C2">
              <w:rPr>
                <w:rFonts w:ascii="Times New Roman" w:hAnsi="Times New Roman" w:cs="Times New Roman"/>
              </w:rPr>
              <w:t>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 w:rsidR="00F1185E">
              <w:t xml:space="preserve"> </w:t>
            </w:r>
            <w:r w:rsidR="00F1185E" w:rsidRPr="00F1185E">
              <w:rPr>
                <w:rFonts w:ascii="Times New Roman" w:hAnsi="Times New Roman" w:cs="Times New Roman"/>
              </w:rPr>
              <w:t>Дробышевский А.А.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10" w:rsidRDefault="009C6110">
      <w:r>
        <w:separator/>
      </w:r>
    </w:p>
  </w:endnote>
  <w:endnote w:type="continuationSeparator" w:id="0">
    <w:p w:rsidR="009C6110" w:rsidRDefault="009C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10" w:rsidRDefault="009C6110">
      <w:r>
        <w:separator/>
      </w:r>
    </w:p>
  </w:footnote>
  <w:footnote w:type="continuationSeparator" w:id="0">
    <w:p w:rsidR="009C6110" w:rsidRDefault="009C6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370C49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dGLQQRcKgkCaj2rbFYHLF+ygKMYuentc5tquhyIRkUs=</DigestValue>
    </Reference>
    <Reference URI="#idOfficeObject" Type="http://www.w3.org/2000/09/xmldsig#Object">
      <DigestMethod Algorithm="urn:ietf:params:xml:ns:cpxmlsec:algorithms:gostr3411"/>
      <DigestValue>e9wj/iKQ87xWePhRVd1zx7PHA0Q/AM7Xo6Uqc1+GIUA=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WKd+Azae3Mo2WizX8+29JGepvZlgF7eADk2jOK3HXNw=</DigestValue>
    </Reference>
  </SignedInfo>
  <SignatureValue>jA9v+NVkqTZfzeDxglvNZdiF7jnwFtuJTiorbPidOx8GSG7pIV9asLVg1wvfn4c+
8PjhzEzTkgLDpVv49RH3pA==</SignatureValue>
  <KeyInfo>
    <X509Data>
      <X509Certificate>MIILTDCCCvugAwIBAgIQb5C46fJCO4jnERKZzgWA0jAIBgYqhQMCAgMwggFiMSIw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A1UEAwwJVEVOU09SQ0E1MB4XDTE3MDkxNDA1NTYxOVoXDTE4MDkxNDA2MDYxOVow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bDZFhsYw3O/J9uf0GROrnBIYIXU=</DigestValue>
      </Reference>
      <Reference URI="/word/document.xml?ContentType=application/vnd.openxmlformats-officedocument.wordprocessingml.document.main+xml">
        <DigestMethod Algorithm="http://www.w3.org/2000/09/xmldsig#sha1"/>
        <DigestValue>ucez7hE32dxCKBFthP6VeekPjWk=</DigestValue>
      </Reference>
      <Reference URI="/word/endnotes.xml?ContentType=application/vnd.openxmlformats-officedocument.wordprocessingml.endnotes+xml">
        <DigestMethod Algorithm="http://www.w3.org/2000/09/xmldsig#sha1"/>
        <DigestValue>FnZdY9CMHcpKFS6H+j2KtxEeBqw=</DigestValue>
      </Reference>
      <Reference URI="/word/fontTable.xml?ContentType=application/vnd.openxmlformats-officedocument.wordprocessingml.fontTable+xml">
        <DigestMethod Algorithm="http://www.w3.org/2000/09/xmldsig#sha1"/>
        <DigestValue>B9egqJFtfuoK/eq8r/yeK2VwqX4=</DigestValue>
      </Reference>
      <Reference URI="/word/footer1.xml?ContentType=application/vnd.openxmlformats-officedocument.wordprocessingml.footer+xml">
        <DigestMethod Algorithm="http://www.w3.org/2000/09/xmldsig#sha1"/>
        <DigestValue>F05OXJUDifszoaQJCU0CC7tlhsw=</DigestValue>
      </Reference>
      <Reference URI="/word/footer2.xml?ContentType=application/vnd.openxmlformats-officedocument.wordprocessingml.footer+xml">
        <DigestMethod Algorithm="http://www.w3.org/2000/09/xmldsig#sha1"/>
        <DigestValue>7G9YuIfTtUpOsr1CERpZuIqgZt0=</DigestValue>
      </Reference>
      <Reference URI="/word/footer3.xml?ContentType=application/vnd.openxmlformats-officedocument.wordprocessingml.footer+xml">
        <DigestMethod Algorithm="http://www.w3.org/2000/09/xmldsig#sha1"/>
        <DigestValue>7G9YuIfTtUpOsr1CERpZuIqgZt0=</DigestValue>
      </Reference>
      <Reference URI="/word/footnotes.xml?ContentType=application/vnd.openxmlformats-officedocument.wordprocessingml.footnotes+xml">
        <DigestMethod Algorithm="http://www.w3.org/2000/09/xmldsig#sha1"/>
        <DigestValue>lH6nUXBxcvngyFjDwCoQgOkBtVs=</DigestValue>
      </Reference>
      <Reference URI="/word/header1.xml?ContentType=application/vnd.openxmlformats-officedocument.wordprocessingml.header+xml">
        <DigestMethod Algorithm="http://www.w3.org/2000/09/xmldsig#sha1"/>
        <DigestValue>2HjcRPRH5VOoKHnrl8Q1/fcKRpc=</DigestValue>
      </Reference>
      <Reference URI="/word/header2.xml?ContentType=application/vnd.openxmlformats-officedocument.wordprocessingml.header+xml">
        <DigestMethod Algorithm="http://www.w3.org/2000/09/xmldsig#sha1"/>
        <DigestValue>mn+l2OV+ja7nxSWc+0YaGYjlOaE=</DigestValue>
      </Reference>
      <Reference URI="/word/header3.xml?ContentType=application/vnd.openxmlformats-officedocument.wordprocessingml.header+xml">
        <DigestMethod Algorithm="http://www.w3.org/2000/09/xmldsig#sha1"/>
        <DigestValue>CxJoJ2d3x6IBYehoEHMHWENA27Q=</DigestValue>
      </Reference>
      <Reference URI="/word/numbering.xml?ContentType=application/vnd.openxmlformats-officedocument.wordprocessingml.numbering+xml">
        <DigestMethod Algorithm="http://www.w3.org/2000/09/xmldsig#sha1"/>
        <DigestValue>IS2ZRaunjydsB+sWAeBEWFFAUFo=</DigestValue>
      </Reference>
      <Reference URI="/word/settings.xml?ContentType=application/vnd.openxmlformats-officedocument.wordprocessingml.settings+xml">
        <DigestMethod Algorithm="http://www.w3.org/2000/09/xmldsig#sha1"/>
        <DigestValue>jg9B34c5BIVvdSLvuFqUKH2OSd8=</DigestValue>
      </Reference>
      <Reference URI="/word/styles.xml?ContentType=application/vnd.openxmlformats-officedocument.wordprocessingml.styles+xml">
        <DigestMethod Algorithm="http://www.w3.org/2000/09/xmldsig#sha1"/>
        <DigestValue>6y5UjWB9jaD+asEzg+vKXT5XBug=</DigestValue>
      </Reference>
      <Reference URI="/word/stylesWithEffects.xml?ContentType=application/vnd.ms-word.stylesWithEffects+xml">
        <DigestMethod Algorithm="http://www.w3.org/2000/09/xmldsig#sha1"/>
        <DigestValue>tx1uA+hIf+YS58wmozb17a4+Nlc=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6QPeHc6txlagZwX0UqfhxHxw3vI=</DigestValue>
      </Reference>
    </Manifest>
    <SignatureProperties>
      <SignatureProperty Id="idSignatureTime" Target="#idPackageSignature">
        <mdssi:SignatureTime>
          <mdssi:Format>YYYY-MM-DDThh:mm:ssTZD</mdssi:Format>
          <mdssi:Value>2018-08-03T08:52:53Z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2018-08-03T08:52:53Z</xd:SigningTime>
          <xd:SigningCertificate>
            <xd:Cert>
              <xd:CertDigest>
                <DigestMethod Algorithm="http://www.w3.org/2000/09/xmldsig#sha1"/>
                <DigestValue>9oNDqBm+gEXsE/TLiixL4VUrVUk=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148295748778259057427669505992158445778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2018-08-03T08:50:00Z</dcterms:modified>
</cp:coreProperties>
</file>