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Новоселова Михаила Юрьевича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Амурской области от 07.06.2022 по делу № А04-2408/2022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Новоселова Михаила Юрьевича,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Новоселова Михаила Юрьевича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1pT+5QAwk3Zjxq8gtzhDJcwYgQ==">AMUW2mVh8GEDfYfs3ka89bNxARdZUjRcCeChcTeI9hE0l6oZZn9aUFIHjnnJKJ8umMYa85q1CmbMMtVn2WlvkjVkklbklqd9iBRXFme7q9vlJYVAuqnLl82XFo3mEuuMECe0QKV2FCsjjaN04QYaapn2la61FIfJfw==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