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Бирюкова Сергея Александровича Курбанов Тимур Айдынович,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города Санкт-Петербурга и Ленинградской области от 07.10.2021 по делу № А56-42890/2021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Бирюкова Сергея Александровича,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– Курбанов Тимур Айдынович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507504965364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40817810108190095157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 и незаключения договора купли-продажи с единственным участником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города Санкт-Петербурга и Ленинградской области.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Бирюкова Сергея Александровича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Т.А.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zb+CZ/0a4r7oCNoyfQqe/v8Bbw==">AMUW2mW2ARIOLVLXW98A2QCd2+Ka+EE3SD6TZ49czR9ERapxdN8TgvZ1ptatY0tAjRxkdc/dfqAbFXB/RwtEOB+AvxK9QmikkvivVItRmwLPPIgQp7llmJrtF4IPvIBLQqbvJZoDDkmuoBl8zvIWKIthshxmae9U6A==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