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7A86" w14:textId="47B28E2B" w:rsidR="00AA6D30" w:rsidRPr="00E17A06" w:rsidRDefault="00756BC0" w:rsidP="00AA6D30">
      <w:pPr>
        <w:spacing w:after="0"/>
        <w:jc w:val="center"/>
        <w:rPr>
          <w:rFonts w:ascii="Times New Roman" w:hAnsi="Times New Roman" w:cs="Times New Roman"/>
          <w:b/>
          <w:bCs/>
        </w:rPr>
      </w:pPr>
      <w:r>
        <w:rPr>
          <w:rFonts w:ascii="Times New Roman" w:hAnsi="Times New Roman" w:cs="Times New Roman"/>
          <w:b/>
          <w:bCs/>
        </w:rPr>
        <w:t>ДОПОЛНИТЕЛЬНЫЕ СВЕДЕНИЯ</w:t>
      </w:r>
    </w:p>
    <w:p w14:paraId="71E93290" w14:textId="1494D38D" w:rsidR="003E4F32" w:rsidRDefault="00756BC0" w:rsidP="00AA6D30">
      <w:pPr>
        <w:spacing w:after="0"/>
        <w:jc w:val="center"/>
        <w:rPr>
          <w:rFonts w:ascii="Times New Roman" w:hAnsi="Times New Roman" w:cs="Times New Roman"/>
          <w:b/>
          <w:bCs/>
        </w:rPr>
      </w:pPr>
      <w:r>
        <w:rPr>
          <w:rFonts w:ascii="Times New Roman" w:hAnsi="Times New Roman" w:cs="Times New Roman"/>
          <w:b/>
          <w:bCs/>
        </w:rPr>
        <w:t>в отношении актива ООО «</w:t>
      </w:r>
      <w:proofErr w:type="spellStart"/>
      <w:r>
        <w:rPr>
          <w:rFonts w:ascii="Times New Roman" w:hAnsi="Times New Roman" w:cs="Times New Roman"/>
          <w:b/>
          <w:bCs/>
        </w:rPr>
        <w:t>АвтоЛидер</w:t>
      </w:r>
      <w:proofErr w:type="spellEnd"/>
      <w:r>
        <w:rPr>
          <w:rFonts w:ascii="Times New Roman" w:hAnsi="Times New Roman" w:cs="Times New Roman"/>
          <w:b/>
          <w:bCs/>
        </w:rPr>
        <w:t xml:space="preserve">» - </w:t>
      </w:r>
    </w:p>
    <w:p w14:paraId="2C848165" w14:textId="4184E5C2" w:rsidR="00756BC0" w:rsidRPr="00E17A06" w:rsidRDefault="00532066" w:rsidP="00AA6D30">
      <w:pPr>
        <w:spacing w:after="0"/>
        <w:jc w:val="center"/>
        <w:rPr>
          <w:rFonts w:ascii="Times New Roman" w:hAnsi="Times New Roman" w:cs="Times New Roman"/>
          <w:b/>
          <w:bCs/>
        </w:rPr>
      </w:pPr>
      <w:r>
        <w:rPr>
          <w:rFonts w:ascii="Times New Roman" w:hAnsi="Times New Roman" w:cs="Times New Roman"/>
          <w:b/>
          <w:bCs/>
        </w:rPr>
        <w:t>дебиторская задолженность</w:t>
      </w:r>
    </w:p>
    <w:p w14:paraId="1785AEA5" w14:textId="7E89B3AC" w:rsidR="00AA6D30" w:rsidRPr="00E17A06" w:rsidRDefault="00AA6D30" w:rsidP="00AA6D30">
      <w:pPr>
        <w:spacing w:after="0"/>
        <w:jc w:val="center"/>
        <w:rPr>
          <w:rFonts w:ascii="Times New Roman" w:hAnsi="Times New Roman" w:cs="Times New Roman"/>
          <w:b/>
          <w:bCs/>
        </w:rPr>
      </w:pPr>
    </w:p>
    <w:p w14:paraId="70886325" w14:textId="30EA20E7" w:rsidR="00532066" w:rsidRPr="00532066" w:rsidRDefault="00532066" w:rsidP="00532066">
      <w:pPr>
        <w:spacing w:after="0"/>
        <w:ind w:firstLine="708"/>
        <w:jc w:val="both"/>
        <w:rPr>
          <w:rFonts w:ascii="Times New Roman" w:hAnsi="Times New Roman" w:cs="Times New Roman"/>
        </w:rPr>
      </w:pPr>
      <w:r w:rsidRPr="00532066">
        <w:rPr>
          <w:rFonts w:ascii="Times New Roman" w:hAnsi="Times New Roman" w:cs="Times New Roman"/>
        </w:rPr>
        <w:t>В связи с завершением всех обособленных споров о признании недействительными сделками договоров купли-продажи автомобилей, а также завершением мероприятий, направленных на реализацию последствий признания сделок недействительными (взыскание, включение в реестр требований кредиторов), проведена дополнительная инвентаризация образовавшихся</w:t>
      </w:r>
      <w:r>
        <w:rPr>
          <w:rFonts w:ascii="Times New Roman" w:hAnsi="Times New Roman" w:cs="Times New Roman"/>
        </w:rPr>
        <w:t xml:space="preserve"> </w:t>
      </w:r>
      <w:r w:rsidRPr="00532066">
        <w:rPr>
          <w:rFonts w:ascii="Times New Roman" w:hAnsi="Times New Roman" w:cs="Times New Roman"/>
        </w:rPr>
        <w:t>в связи с этим прав требования. Сообщение о результатах инвентаризации размещено в ЕФРСБ 28.03.2022г., № сообщения – 8470516.</w:t>
      </w:r>
    </w:p>
    <w:p w14:paraId="64DFD134" w14:textId="2ADF6977" w:rsidR="00532066" w:rsidRDefault="00532066" w:rsidP="00532066">
      <w:pPr>
        <w:spacing w:after="0"/>
        <w:ind w:firstLine="708"/>
        <w:jc w:val="both"/>
        <w:rPr>
          <w:rFonts w:ascii="Times New Roman" w:hAnsi="Times New Roman" w:cs="Times New Roman"/>
        </w:rPr>
      </w:pPr>
    </w:p>
    <w:tbl>
      <w:tblPr>
        <w:tblStyle w:val="a3"/>
        <w:tblW w:w="9351" w:type="dxa"/>
        <w:tblLook w:val="04A0" w:firstRow="1" w:lastRow="0" w:firstColumn="1" w:lastColumn="0" w:noHBand="0" w:noVBand="1"/>
      </w:tblPr>
      <w:tblGrid>
        <w:gridCol w:w="2122"/>
        <w:gridCol w:w="2126"/>
        <w:gridCol w:w="3544"/>
        <w:gridCol w:w="1559"/>
      </w:tblGrid>
      <w:tr w:rsidR="00532066" w:rsidRPr="000E2713" w14:paraId="56BB8DC5" w14:textId="77777777" w:rsidTr="00993666">
        <w:tc>
          <w:tcPr>
            <w:tcW w:w="2122" w:type="dxa"/>
          </w:tcPr>
          <w:p w14:paraId="210D7285" w14:textId="77777777" w:rsidR="00532066" w:rsidRPr="000E2713" w:rsidRDefault="00532066" w:rsidP="00993666">
            <w:pPr>
              <w:widowControl w:val="0"/>
              <w:autoSpaceDE w:val="0"/>
              <w:autoSpaceDN w:val="0"/>
              <w:adjustRightInd w:val="0"/>
              <w:jc w:val="center"/>
              <w:rPr>
                <w:rFonts w:ascii="Times New Roman" w:eastAsia="Times New Roman" w:hAnsi="Times New Roman" w:cs="Times New Roman"/>
                <w:b/>
                <w:bCs/>
                <w:sz w:val="24"/>
                <w:szCs w:val="24"/>
                <w:lang w:eastAsia="ru-RU"/>
              </w:rPr>
            </w:pPr>
            <w:r w:rsidRPr="000E2713">
              <w:rPr>
                <w:rFonts w:ascii="Times New Roman" w:eastAsia="Times New Roman" w:hAnsi="Times New Roman" w:cs="Times New Roman"/>
                <w:b/>
                <w:bCs/>
                <w:sz w:val="24"/>
                <w:szCs w:val="24"/>
                <w:lang w:eastAsia="ru-RU"/>
              </w:rPr>
              <w:t>Наименование дебитора</w:t>
            </w:r>
          </w:p>
        </w:tc>
        <w:tc>
          <w:tcPr>
            <w:tcW w:w="2126" w:type="dxa"/>
          </w:tcPr>
          <w:p w14:paraId="1BEF116A" w14:textId="77777777" w:rsidR="00532066" w:rsidRPr="000E2713" w:rsidRDefault="00532066" w:rsidP="00993666">
            <w:pPr>
              <w:widowControl w:val="0"/>
              <w:autoSpaceDE w:val="0"/>
              <w:autoSpaceDN w:val="0"/>
              <w:adjustRightInd w:val="0"/>
              <w:jc w:val="center"/>
              <w:rPr>
                <w:rFonts w:ascii="Times New Roman" w:eastAsia="Times New Roman" w:hAnsi="Times New Roman" w:cs="Times New Roman"/>
                <w:b/>
                <w:bCs/>
                <w:sz w:val="24"/>
                <w:szCs w:val="24"/>
                <w:lang w:eastAsia="ru-RU"/>
              </w:rPr>
            </w:pPr>
            <w:r w:rsidRPr="000E2713">
              <w:rPr>
                <w:rFonts w:ascii="Times New Roman" w:eastAsia="Times New Roman" w:hAnsi="Times New Roman" w:cs="Times New Roman"/>
                <w:b/>
                <w:bCs/>
                <w:sz w:val="24"/>
                <w:szCs w:val="24"/>
                <w:lang w:eastAsia="ru-RU"/>
              </w:rPr>
              <w:t>Сумма задолженности, руб.</w:t>
            </w:r>
          </w:p>
        </w:tc>
        <w:tc>
          <w:tcPr>
            <w:tcW w:w="3544" w:type="dxa"/>
          </w:tcPr>
          <w:p w14:paraId="3D7BD2B8" w14:textId="77777777" w:rsidR="00532066" w:rsidRPr="000E2713" w:rsidRDefault="00532066" w:rsidP="00993666">
            <w:pPr>
              <w:widowControl w:val="0"/>
              <w:autoSpaceDE w:val="0"/>
              <w:autoSpaceDN w:val="0"/>
              <w:adjustRightInd w:val="0"/>
              <w:jc w:val="center"/>
              <w:rPr>
                <w:rFonts w:ascii="Times New Roman" w:eastAsia="Times New Roman" w:hAnsi="Times New Roman" w:cs="Times New Roman"/>
                <w:b/>
                <w:bCs/>
                <w:sz w:val="24"/>
                <w:szCs w:val="24"/>
                <w:lang w:eastAsia="ru-RU"/>
              </w:rPr>
            </w:pPr>
            <w:r w:rsidRPr="000E2713">
              <w:rPr>
                <w:rFonts w:ascii="Times New Roman" w:eastAsia="Times New Roman" w:hAnsi="Times New Roman" w:cs="Times New Roman"/>
                <w:b/>
                <w:bCs/>
                <w:sz w:val="24"/>
                <w:szCs w:val="24"/>
                <w:lang w:eastAsia="ru-RU"/>
              </w:rPr>
              <w:t>Документы в подтверждение задолженности</w:t>
            </w:r>
          </w:p>
        </w:tc>
        <w:tc>
          <w:tcPr>
            <w:tcW w:w="1559" w:type="dxa"/>
          </w:tcPr>
          <w:p w14:paraId="524FB40F" w14:textId="77777777" w:rsidR="00532066" w:rsidRPr="000E2713" w:rsidRDefault="00532066" w:rsidP="00993666">
            <w:pPr>
              <w:widowControl w:val="0"/>
              <w:autoSpaceDE w:val="0"/>
              <w:autoSpaceDN w:val="0"/>
              <w:adjustRightInd w:val="0"/>
              <w:jc w:val="center"/>
              <w:rPr>
                <w:rFonts w:ascii="Times New Roman" w:eastAsia="Times New Roman" w:hAnsi="Times New Roman" w:cs="Times New Roman"/>
                <w:b/>
                <w:bCs/>
                <w:sz w:val="24"/>
                <w:szCs w:val="24"/>
                <w:lang w:eastAsia="ru-RU"/>
              </w:rPr>
            </w:pPr>
            <w:r w:rsidRPr="000E2713">
              <w:rPr>
                <w:rFonts w:ascii="Times New Roman" w:eastAsia="Times New Roman" w:hAnsi="Times New Roman" w:cs="Times New Roman"/>
                <w:b/>
                <w:bCs/>
                <w:sz w:val="24"/>
                <w:szCs w:val="24"/>
                <w:lang w:eastAsia="ru-RU"/>
              </w:rPr>
              <w:t>Начальная цена, руб.</w:t>
            </w:r>
          </w:p>
        </w:tc>
      </w:tr>
      <w:tr w:rsidR="00532066" w:rsidRPr="000E2713" w14:paraId="716533D1" w14:textId="77777777" w:rsidTr="00993666">
        <w:tc>
          <w:tcPr>
            <w:tcW w:w="2122" w:type="dxa"/>
            <w:vAlign w:val="center"/>
          </w:tcPr>
          <w:p w14:paraId="743AB51A" w14:textId="77777777" w:rsidR="00532066" w:rsidRPr="000E2713" w:rsidRDefault="00532066" w:rsidP="00993666">
            <w:pPr>
              <w:widowControl w:val="0"/>
              <w:autoSpaceDE w:val="0"/>
              <w:autoSpaceDN w:val="0"/>
              <w:adjustRightInd w:val="0"/>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ООО «Автодом 36»</w:t>
            </w:r>
          </w:p>
        </w:tc>
        <w:tc>
          <w:tcPr>
            <w:tcW w:w="2126" w:type="dxa"/>
            <w:vAlign w:val="center"/>
          </w:tcPr>
          <w:p w14:paraId="0B428DED" w14:textId="77777777" w:rsidR="00532066" w:rsidRPr="000E2713" w:rsidRDefault="00532066" w:rsidP="00993666">
            <w:pPr>
              <w:widowControl w:val="0"/>
              <w:autoSpaceDE w:val="0"/>
              <w:autoSpaceDN w:val="0"/>
              <w:adjustRightInd w:val="0"/>
              <w:jc w:val="right"/>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2 577 112,00</w:t>
            </w:r>
          </w:p>
        </w:tc>
        <w:tc>
          <w:tcPr>
            <w:tcW w:w="3544" w:type="dxa"/>
          </w:tcPr>
          <w:p w14:paraId="134B6ABB" w14:textId="77777777" w:rsidR="00532066" w:rsidRPr="000E2713" w:rsidRDefault="00532066" w:rsidP="00993666">
            <w:pPr>
              <w:widowControl w:val="0"/>
              <w:autoSpaceDE w:val="0"/>
              <w:autoSpaceDN w:val="0"/>
              <w:adjustRightInd w:val="0"/>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Определения Арбитражного суда Воронежской области от 18.02.2020, от 27.04.2021 по делу № А14-4131/2019</w:t>
            </w:r>
          </w:p>
        </w:tc>
        <w:tc>
          <w:tcPr>
            <w:tcW w:w="1559" w:type="dxa"/>
            <w:vAlign w:val="center"/>
          </w:tcPr>
          <w:p w14:paraId="4F4A5329" w14:textId="77777777" w:rsidR="00532066" w:rsidRPr="000E2713" w:rsidRDefault="00532066" w:rsidP="00993666">
            <w:pPr>
              <w:widowControl w:val="0"/>
              <w:autoSpaceDE w:val="0"/>
              <w:autoSpaceDN w:val="0"/>
              <w:adjustRightInd w:val="0"/>
              <w:jc w:val="right"/>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2 577 112,00</w:t>
            </w:r>
          </w:p>
        </w:tc>
      </w:tr>
      <w:tr w:rsidR="00532066" w:rsidRPr="000E2713" w14:paraId="332FB6DE" w14:textId="77777777" w:rsidTr="00993666">
        <w:tc>
          <w:tcPr>
            <w:tcW w:w="2122" w:type="dxa"/>
            <w:vAlign w:val="center"/>
          </w:tcPr>
          <w:p w14:paraId="5281D6A8" w14:textId="77777777" w:rsidR="00532066" w:rsidRPr="000E2713" w:rsidRDefault="00532066" w:rsidP="00993666">
            <w:pPr>
              <w:widowControl w:val="0"/>
              <w:autoSpaceDE w:val="0"/>
              <w:autoSpaceDN w:val="0"/>
              <w:adjustRightInd w:val="0"/>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Милованова Елена Васильевна</w:t>
            </w:r>
          </w:p>
        </w:tc>
        <w:tc>
          <w:tcPr>
            <w:tcW w:w="2126" w:type="dxa"/>
            <w:vAlign w:val="center"/>
          </w:tcPr>
          <w:p w14:paraId="5A14BD14" w14:textId="77777777" w:rsidR="00532066" w:rsidRPr="000E2713" w:rsidRDefault="00532066" w:rsidP="00993666">
            <w:pPr>
              <w:widowControl w:val="0"/>
              <w:autoSpaceDE w:val="0"/>
              <w:autoSpaceDN w:val="0"/>
              <w:adjustRightInd w:val="0"/>
              <w:jc w:val="right"/>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290 000,00</w:t>
            </w:r>
          </w:p>
        </w:tc>
        <w:tc>
          <w:tcPr>
            <w:tcW w:w="3544" w:type="dxa"/>
          </w:tcPr>
          <w:p w14:paraId="68A67E22" w14:textId="77777777" w:rsidR="00532066" w:rsidRPr="000E2713" w:rsidRDefault="00532066" w:rsidP="00993666">
            <w:pPr>
              <w:widowControl w:val="0"/>
              <w:autoSpaceDE w:val="0"/>
              <w:autoSpaceDN w:val="0"/>
              <w:adjustRightInd w:val="0"/>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Определение Арбитражного суда Воронежской области от 05.10.2020г. по делу № №А14-8838/2016</w:t>
            </w:r>
          </w:p>
        </w:tc>
        <w:tc>
          <w:tcPr>
            <w:tcW w:w="1559" w:type="dxa"/>
            <w:vAlign w:val="center"/>
          </w:tcPr>
          <w:p w14:paraId="5641BE55" w14:textId="77777777" w:rsidR="00532066" w:rsidRPr="000E2713" w:rsidRDefault="00532066" w:rsidP="00993666">
            <w:pPr>
              <w:widowControl w:val="0"/>
              <w:autoSpaceDE w:val="0"/>
              <w:autoSpaceDN w:val="0"/>
              <w:adjustRightInd w:val="0"/>
              <w:jc w:val="right"/>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290 000,00</w:t>
            </w:r>
          </w:p>
        </w:tc>
      </w:tr>
      <w:tr w:rsidR="00532066" w:rsidRPr="000E2713" w14:paraId="280061B3" w14:textId="77777777" w:rsidTr="00993666">
        <w:tc>
          <w:tcPr>
            <w:tcW w:w="2122" w:type="dxa"/>
            <w:vAlign w:val="center"/>
          </w:tcPr>
          <w:p w14:paraId="48874361" w14:textId="77777777" w:rsidR="00532066" w:rsidRPr="000E2713" w:rsidRDefault="00532066" w:rsidP="00993666">
            <w:pPr>
              <w:widowControl w:val="0"/>
              <w:autoSpaceDE w:val="0"/>
              <w:autoSpaceDN w:val="0"/>
              <w:adjustRightInd w:val="0"/>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 xml:space="preserve">Шереметьев Алексей </w:t>
            </w:r>
            <w:proofErr w:type="spellStart"/>
            <w:r w:rsidRPr="000E2713">
              <w:rPr>
                <w:rFonts w:ascii="Times New Roman" w:eastAsia="Times New Roman" w:hAnsi="Times New Roman" w:cs="Times New Roman"/>
                <w:sz w:val="24"/>
                <w:szCs w:val="24"/>
                <w:lang w:eastAsia="ru-RU"/>
              </w:rPr>
              <w:t>Янушевич</w:t>
            </w:r>
            <w:proofErr w:type="spellEnd"/>
          </w:p>
        </w:tc>
        <w:tc>
          <w:tcPr>
            <w:tcW w:w="2126" w:type="dxa"/>
            <w:vAlign w:val="center"/>
          </w:tcPr>
          <w:p w14:paraId="0830CD30" w14:textId="77777777" w:rsidR="00532066" w:rsidRPr="000E2713" w:rsidRDefault="00532066" w:rsidP="00993666">
            <w:pPr>
              <w:widowControl w:val="0"/>
              <w:autoSpaceDE w:val="0"/>
              <w:autoSpaceDN w:val="0"/>
              <w:adjustRightInd w:val="0"/>
              <w:jc w:val="right"/>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168 263,00</w:t>
            </w:r>
          </w:p>
        </w:tc>
        <w:tc>
          <w:tcPr>
            <w:tcW w:w="3544" w:type="dxa"/>
          </w:tcPr>
          <w:p w14:paraId="533C61F5" w14:textId="77777777" w:rsidR="00532066" w:rsidRPr="000E2713" w:rsidRDefault="00532066" w:rsidP="00993666">
            <w:pPr>
              <w:widowControl w:val="0"/>
              <w:autoSpaceDE w:val="0"/>
              <w:autoSpaceDN w:val="0"/>
              <w:adjustRightInd w:val="0"/>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 xml:space="preserve">Определение Арбитражного суда Воронежской области от 17.02.2022 г по делу № А14-8838/2016 </w:t>
            </w:r>
          </w:p>
        </w:tc>
        <w:tc>
          <w:tcPr>
            <w:tcW w:w="1559" w:type="dxa"/>
            <w:vAlign w:val="center"/>
          </w:tcPr>
          <w:p w14:paraId="4E86E4B2" w14:textId="77777777" w:rsidR="00532066" w:rsidRPr="000E2713" w:rsidRDefault="00532066" w:rsidP="00993666">
            <w:pPr>
              <w:widowControl w:val="0"/>
              <w:autoSpaceDE w:val="0"/>
              <w:autoSpaceDN w:val="0"/>
              <w:adjustRightInd w:val="0"/>
              <w:jc w:val="right"/>
              <w:rPr>
                <w:rFonts w:ascii="Times New Roman" w:eastAsia="Times New Roman" w:hAnsi="Times New Roman" w:cs="Times New Roman"/>
                <w:sz w:val="24"/>
                <w:szCs w:val="24"/>
                <w:lang w:eastAsia="ru-RU"/>
              </w:rPr>
            </w:pPr>
            <w:r w:rsidRPr="000E2713">
              <w:rPr>
                <w:rFonts w:ascii="Times New Roman" w:eastAsia="Times New Roman" w:hAnsi="Times New Roman" w:cs="Times New Roman"/>
                <w:sz w:val="24"/>
                <w:szCs w:val="24"/>
                <w:lang w:eastAsia="ru-RU"/>
              </w:rPr>
              <w:t>168 263,00</w:t>
            </w:r>
          </w:p>
        </w:tc>
      </w:tr>
      <w:tr w:rsidR="00532066" w:rsidRPr="000E2713" w14:paraId="132D9174" w14:textId="77777777" w:rsidTr="00993666">
        <w:tc>
          <w:tcPr>
            <w:tcW w:w="2122" w:type="dxa"/>
            <w:vAlign w:val="center"/>
          </w:tcPr>
          <w:p w14:paraId="31B0CC1F" w14:textId="77777777" w:rsidR="00532066" w:rsidRPr="000E2713" w:rsidRDefault="00532066" w:rsidP="00993666">
            <w:pPr>
              <w:widowControl w:val="0"/>
              <w:autoSpaceDE w:val="0"/>
              <w:autoSpaceDN w:val="0"/>
              <w:adjustRightInd w:val="0"/>
              <w:jc w:val="both"/>
              <w:rPr>
                <w:rFonts w:ascii="Times New Roman" w:eastAsia="Times New Roman" w:hAnsi="Times New Roman" w:cs="Times New Roman"/>
                <w:b/>
                <w:bCs/>
                <w:color w:val="000000"/>
                <w:sz w:val="24"/>
                <w:szCs w:val="24"/>
                <w:lang w:eastAsia="ru-RU"/>
              </w:rPr>
            </w:pPr>
            <w:r w:rsidRPr="000E2713">
              <w:rPr>
                <w:rFonts w:ascii="Times New Roman" w:eastAsia="Times New Roman" w:hAnsi="Times New Roman" w:cs="Times New Roman"/>
                <w:b/>
                <w:bCs/>
                <w:color w:val="000000"/>
                <w:sz w:val="24"/>
                <w:szCs w:val="24"/>
                <w:lang w:eastAsia="ru-RU"/>
              </w:rPr>
              <w:t>ИТОГО</w:t>
            </w:r>
          </w:p>
        </w:tc>
        <w:tc>
          <w:tcPr>
            <w:tcW w:w="2126" w:type="dxa"/>
            <w:vAlign w:val="center"/>
          </w:tcPr>
          <w:p w14:paraId="66938EA9" w14:textId="77777777" w:rsidR="00532066" w:rsidRPr="000E2713" w:rsidRDefault="00532066" w:rsidP="00993666">
            <w:pPr>
              <w:widowControl w:val="0"/>
              <w:autoSpaceDE w:val="0"/>
              <w:autoSpaceDN w:val="0"/>
              <w:adjustRightInd w:val="0"/>
              <w:jc w:val="right"/>
              <w:rPr>
                <w:rFonts w:ascii="Times New Roman" w:eastAsia="Times New Roman" w:hAnsi="Times New Roman" w:cs="Times New Roman"/>
                <w:b/>
                <w:bCs/>
                <w:color w:val="000000"/>
                <w:sz w:val="24"/>
                <w:szCs w:val="24"/>
                <w:lang w:eastAsia="ru-RU"/>
              </w:rPr>
            </w:pPr>
            <w:r w:rsidRPr="000E2713">
              <w:rPr>
                <w:rFonts w:ascii="Times New Roman" w:eastAsia="Times New Roman" w:hAnsi="Times New Roman" w:cs="Times New Roman"/>
                <w:b/>
                <w:bCs/>
                <w:color w:val="000000"/>
                <w:sz w:val="24"/>
                <w:szCs w:val="24"/>
                <w:lang w:eastAsia="ru-RU"/>
              </w:rPr>
              <w:t>3 035 375,00</w:t>
            </w:r>
          </w:p>
        </w:tc>
        <w:tc>
          <w:tcPr>
            <w:tcW w:w="3544" w:type="dxa"/>
          </w:tcPr>
          <w:p w14:paraId="45D4DB96" w14:textId="77777777" w:rsidR="00532066" w:rsidRPr="000E2713" w:rsidRDefault="00532066" w:rsidP="00993666">
            <w:pPr>
              <w:widowControl w:val="0"/>
              <w:autoSpaceDE w:val="0"/>
              <w:autoSpaceDN w:val="0"/>
              <w:adjustRightInd w:val="0"/>
              <w:jc w:val="both"/>
              <w:rPr>
                <w:rFonts w:ascii="Times New Roman" w:eastAsia="Times New Roman" w:hAnsi="Times New Roman" w:cs="Times New Roman"/>
                <w:b/>
                <w:bCs/>
                <w:sz w:val="24"/>
                <w:szCs w:val="24"/>
                <w:lang w:eastAsia="ru-RU"/>
              </w:rPr>
            </w:pPr>
          </w:p>
        </w:tc>
        <w:tc>
          <w:tcPr>
            <w:tcW w:w="1559" w:type="dxa"/>
            <w:vAlign w:val="center"/>
          </w:tcPr>
          <w:p w14:paraId="11F8DC71" w14:textId="77777777" w:rsidR="00532066" w:rsidRPr="000E2713" w:rsidRDefault="00532066" w:rsidP="00993666">
            <w:pPr>
              <w:widowControl w:val="0"/>
              <w:autoSpaceDE w:val="0"/>
              <w:autoSpaceDN w:val="0"/>
              <w:adjustRightInd w:val="0"/>
              <w:jc w:val="right"/>
              <w:rPr>
                <w:rFonts w:ascii="Times New Roman" w:eastAsia="Times New Roman" w:hAnsi="Times New Roman" w:cs="Times New Roman"/>
                <w:b/>
                <w:bCs/>
                <w:sz w:val="24"/>
                <w:szCs w:val="24"/>
                <w:lang w:eastAsia="ru-RU"/>
              </w:rPr>
            </w:pPr>
            <w:r w:rsidRPr="000E2713">
              <w:rPr>
                <w:rFonts w:ascii="Times New Roman" w:eastAsia="Times New Roman" w:hAnsi="Times New Roman" w:cs="Times New Roman"/>
                <w:b/>
                <w:bCs/>
                <w:color w:val="000000"/>
                <w:sz w:val="24"/>
                <w:szCs w:val="24"/>
                <w:lang w:eastAsia="ru-RU"/>
              </w:rPr>
              <w:t>3 035 375,00</w:t>
            </w:r>
          </w:p>
        </w:tc>
      </w:tr>
    </w:tbl>
    <w:p w14:paraId="57DDCF0C" w14:textId="735CF0DF" w:rsidR="00532066" w:rsidRDefault="00532066" w:rsidP="00532066">
      <w:pPr>
        <w:spacing w:after="0"/>
        <w:ind w:firstLine="708"/>
        <w:jc w:val="both"/>
        <w:rPr>
          <w:rFonts w:ascii="Times New Roman" w:hAnsi="Times New Roman" w:cs="Times New Roman"/>
        </w:rPr>
      </w:pPr>
    </w:p>
    <w:p w14:paraId="4F91A255" w14:textId="3C201170" w:rsidR="00532066" w:rsidRPr="00532066" w:rsidRDefault="00532066" w:rsidP="00532066">
      <w:pPr>
        <w:spacing w:after="0"/>
        <w:ind w:firstLine="708"/>
        <w:jc w:val="both"/>
        <w:rPr>
          <w:rFonts w:ascii="Times New Roman" w:hAnsi="Times New Roman" w:cs="Times New Roman"/>
        </w:rPr>
      </w:pPr>
      <w:r>
        <w:rPr>
          <w:rFonts w:ascii="Times New Roman" w:hAnsi="Times New Roman" w:cs="Times New Roman"/>
        </w:rPr>
        <w:t>Требование об оценке не поступало, в связи с чем оценка не проводилась.</w:t>
      </w:r>
    </w:p>
    <w:p w14:paraId="62C932F1" w14:textId="77777777" w:rsidR="00532066" w:rsidRPr="00532066" w:rsidRDefault="00532066" w:rsidP="00532066">
      <w:pPr>
        <w:spacing w:after="0"/>
        <w:ind w:firstLine="708"/>
        <w:jc w:val="both"/>
        <w:rPr>
          <w:rFonts w:ascii="Times New Roman" w:hAnsi="Times New Roman" w:cs="Times New Roman"/>
        </w:rPr>
      </w:pPr>
      <w:r w:rsidRPr="00532066">
        <w:rPr>
          <w:rFonts w:ascii="Times New Roman" w:hAnsi="Times New Roman" w:cs="Times New Roman"/>
        </w:rPr>
        <w:t xml:space="preserve">Финансовое положение физических лиц, задолженность которых включена в состав лота, конкурсному управляющему не известно. Вместе с тем, в отношении </w:t>
      </w:r>
      <w:proofErr w:type="spellStart"/>
      <w:r w:rsidRPr="00532066">
        <w:rPr>
          <w:rFonts w:ascii="Times New Roman" w:hAnsi="Times New Roman" w:cs="Times New Roman"/>
        </w:rPr>
        <w:t>Миловановой</w:t>
      </w:r>
      <w:proofErr w:type="spellEnd"/>
      <w:r w:rsidRPr="00532066">
        <w:rPr>
          <w:rFonts w:ascii="Times New Roman" w:hAnsi="Times New Roman" w:cs="Times New Roman"/>
        </w:rPr>
        <w:t xml:space="preserve"> Е.В. арбитражным судом выдан исполнительный лист, который направлен в Советское РОСП г. Воронежа 07.04.2021г. До настоящего времени денежные средства в конкурсную массу не поступали. В отношении Шереметьева А.Я. в арбитражный суд направлено заявление о выдаче исполнительного листа 15.04.2022г. До настоящего времени исполнительный лист конкурсному управляющему не поступил.</w:t>
      </w:r>
    </w:p>
    <w:p w14:paraId="5BB436AB" w14:textId="77777777" w:rsidR="00532066" w:rsidRPr="00532066" w:rsidRDefault="00532066" w:rsidP="00532066">
      <w:pPr>
        <w:spacing w:after="0"/>
        <w:ind w:firstLine="708"/>
        <w:jc w:val="both"/>
        <w:rPr>
          <w:rFonts w:ascii="Times New Roman" w:hAnsi="Times New Roman" w:cs="Times New Roman"/>
        </w:rPr>
      </w:pPr>
      <w:r w:rsidRPr="00532066">
        <w:rPr>
          <w:rFonts w:ascii="Times New Roman" w:hAnsi="Times New Roman" w:cs="Times New Roman"/>
        </w:rPr>
        <w:t>ООО «Автодом 36» признано банкротом решением Арбитражного суда Воронежской области от 03.08.2020 г. по делу № А14-4131/2019 (</w:t>
      </w:r>
      <w:proofErr w:type="spellStart"/>
      <w:r w:rsidRPr="00532066">
        <w:rPr>
          <w:rFonts w:ascii="Times New Roman" w:hAnsi="Times New Roman" w:cs="Times New Roman"/>
        </w:rPr>
        <w:t>рез.часть</w:t>
      </w:r>
      <w:proofErr w:type="spellEnd"/>
      <w:r w:rsidRPr="00532066">
        <w:rPr>
          <w:rFonts w:ascii="Times New Roman" w:hAnsi="Times New Roman" w:cs="Times New Roman"/>
        </w:rPr>
        <w:t>). Требования к ООО «Автодом 36», основанные на определениях о признании недействительными сделок, включены в реестр требований ООО «Автодом 36».</w:t>
      </w:r>
    </w:p>
    <w:p w14:paraId="2BA22646" w14:textId="77777777" w:rsidR="00532066" w:rsidRPr="00532066" w:rsidRDefault="00532066" w:rsidP="00532066">
      <w:pPr>
        <w:spacing w:after="0"/>
        <w:ind w:firstLine="708"/>
        <w:jc w:val="both"/>
        <w:rPr>
          <w:rFonts w:ascii="Times New Roman" w:hAnsi="Times New Roman" w:cs="Times New Roman"/>
        </w:rPr>
      </w:pPr>
    </w:p>
    <w:p w14:paraId="6B0B2288" w14:textId="5251720D" w:rsidR="00E17A06" w:rsidRPr="00E17A06" w:rsidRDefault="00532066" w:rsidP="00532066">
      <w:pPr>
        <w:spacing w:after="0"/>
        <w:ind w:firstLine="708"/>
        <w:jc w:val="both"/>
        <w:rPr>
          <w:rFonts w:ascii="Times New Roman" w:hAnsi="Times New Roman" w:cs="Times New Roman"/>
        </w:rPr>
      </w:pPr>
      <w:r>
        <w:rPr>
          <w:rFonts w:ascii="Times New Roman" w:hAnsi="Times New Roman" w:cs="Times New Roman"/>
        </w:rPr>
        <w:t>Р</w:t>
      </w:r>
      <w:r w:rsidRPr="00532066">
        <w:rPr>
          <w:rFonts w:ascii="Times New Roman" w:hAnsi="Times New Roman" w:cs="Times New Roman"/>
        </w:rPr>
        <w:t>еализация прав требования не препятствует проведению мероприятий по взысканию. В случае если дебиторская задолженность будет погашена дебитором или иным (третьим) лицом полностью или частично, если дебитор будет исключен из ЕГРЮЛ, если судебным актом будет изменен размер задолженности или судебный акт об отказе в удовлетворении требований вступит в силу</w:t>
      </w:r>
      <w:r>
        <w:rPr>
          <w:rFonts w:ascii="Times New Roman" w:hAnsi="Times New Roman" w:cs="Times New Roman"/>
        </w:rPr>
        <w:t xml:space="preserve">, </w:t>
      </w:r>
      <w:r w:rsidRPr="00532066">
        <w:rPr>
          <w:rFonts w:ascii="Times New Roman" w:hAnsi="Times New Roman" w:cs="Times New Roman"/>
        </w:rPr>
        <w:t>объем передаваемых прав уменьшится на соответствующую сумму с пропорциональным снижением цены продаваемого лота, по результатам итогов торгов, при заключении договора цессии.</w:t>
      </w:r>
    </w:p>
    <w:p w14:paraId="4B30E54C" w14:textId="14BB13DB" w:rsidR="007D40C4" w:rsidRPr="00E17A06" w:rsidRDefault="007D40C4" w:rsidP="00AA6D30">
      <w:pPr>
        <w:spacing w:after="0"/>
        <w:ind w:firstLine="708"/>
        <w:jc w:val="both"/>
        <w:rPr>
          <w:rFonts w:ascii="Times New Roman" w:hAnsi="Times New Roman" w:cs="Times New Roman"/>
        </w:rPr>
      </w:pPr>
    </w:p>
    <w:p w14:paraId="6BB0A109" w14:textId="77777777" w:rsidR="00AA6D30" w:rsidRPr="00E17A06" w:rsidRDefault="00AA6D30" w:rsidP="00AA6D30">
      <w:pPr>
        <w:spacing w:after="0"/>
        <w:ind w:firstLine="708"/>
        <w:jc w:val="both"/>
        <w:rPr>
          <w:rFonts w:ascii="Times New Roman" w:hAnsi="Times New Roman" w:cs="Times New Roman"/>
        </w:rPr>
      </w:pPr>
    </w:p>
    <w:sectPr w:rsidR="00AA6D30" w:rsidRPr="00E17A06" w:rsidSect="00532066">
      <w:pgSz w:w="11906" w:h="16838"/>
      <w:pgMar w:top="1135"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7E"/>
    <w:rsid w:val="00070FB6"/>
    <w:rsid w:val="000B4640"/>
    <w:rsid w:val="000C5AB1"/>
    <w:rsid w:val="00184D95"/>
    <w:rsid w:val="0028102A"/>
    <w:rsid w:val="00377135"/>
    <w:rsid w:val="003E4F32"/>
    <w:rsid w:val="00401E2B"/>
    <w:rsid w:val="004049D9"/>
    <w:rsid w:val="00457E7E"/>
    <w:rsid w:val="00492D73"/>
    <w:rsid w:val="00532066"/>
    <w:rsid w:val="0062568B"/>
    <w:rsid w:val="00670B9E"/>
    <w:rsid w:val="006C0CB9"/>
    <w:rsid w:val="006E02A9"/>
    <w:rsid w:val="00756BC0"/>
    <w:rsid w:val="0079385D"/>
    <w:rsid w:val="007A31EA"/>
    <w:rsid w:val="007D40C4"/>
    <w:rsid w:val="007E3FA9"/>
    <w:rsid w:val="008F5120"/>
    <w:rsid w:val="009B7094"/>
    <w:rsid w:val="009D4D8D"/>
    <w:rsid w:val="009F6B48"/>
    <w:rsid w:val="00A1190C"/>
    <w:rsid w:val="00A4102D"/>
    <w:rsid w:val="00AA6D30"/>
    <w:rsid w:val="00B5120C"/>
    <w:rsid w:val="00BF0489"/>
    <w:rsid w:val="00D16D67"/>
    <w:rsid w:val="00D53B37"/>
    <w:rsid w:val="00D970D3"/>
    <w:rsid w:val="00E17A06"/>
    <w:rsid w:val="00E4607A"/>
    <w:rsid w:val="00EE3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3686"/>
  <w15:chartTrackingRefBased/>
  <w15:docId w15:val="{294B5549-17E8-4C1F-B1CA-0488FD95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2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381</Words>
  <Characters>2173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u909</dc:creator>
  <cp:keywords/>
  <dc:description/>
  <cp:lastModifiedBy>u59</cp:lastModifiedBy>
  <cp:revision>9</cp:revision>
  <cp:lastPrinted>2022-05-26T12:03:00Z</cp:lastPrinted>
  <dcterms:created xsi:type="dcterms:W3CDTF">2022-03-04T15:23:00Z</dcterms:created>
  <dcterms:modified xsi:type="dcterms:W3CDTF">2022-05-31T12:57:00Z</dcterms:modified>
</cp:coreProperties>
</file>