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611"/>
        <w:gridCol w:w="4743"/>
      </w:tblGrid>
      <w:tr>
        <w:trPr>
          <w:trHeight w:val="226" w:hRule="atLeast"/>
        </w:trPr>
        <w:tc>
          <w:tcPr>
            <w:tcW w:w="4611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__________20___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>
        <w:rPr>
          <w:bCs/>
          <w:color w:val="000000" w:themeColor="text1"/>
          <w:sz w:val="22"/>
          <w:szCs w:val="22"/>
        </w:rPr>
        <w:t xml:space="preserve">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</w:t>
      </w:r>
      <w:r>
        <w:rPr>
          <w:bCs/>
          <w:color w:val="000000" w:themeColor="text1"/>
          <w:sz w:val="22"/>
          <w:szCs w:val="22"/>
          <w:lang w:eastAsia="ar-SA"/>
        </w:rPr>
        <w:t>194100</w:t>
      </w:r>
      <w:r>
        <w:rPr>
          <w:bCs/>
          <w:color w:val="000000" w:themeColor="text1"/>
          <w:sz w:val="22"/>
          <w:szCs w:val="22"/>
        </w:rPr>
        <w:t>, Россия, г. Санкт-Петербург, ул. Новолитовская, д. 15 литера А)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________________, действующего на основании 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«Костромагорстрой» по лоту № ____</w:t>
      </w:r>
      <w:bookmarkStart w:id="0" w:name="_Hlk73981679"/>
      <w:bookmarkEnd w:id="0"/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 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8"/>
        <w:gridCol w:w="5411"/>
      </w:tblGrid>
      <w:tr>
        <w:trPr>
          <w:trHeight w:val="90" w:hRule="atLeas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3" w:name="_Hlk73981562"/>
            <w:bookmarkStart w:id="4" w:name="_Hlk73981562"/>
            <w:bookmarkEnd w:id="4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624</Words>
  <Characters>4514</Characters>
  <CharactersWithSpaces>5129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2021-07-22T12:38:00Z</dcterms:created>
  <dc:creator>1</dc:creator>
  <dc:description/>
  <dc:language>ru-RU</dc:language>
  <cp:lastModifiedBy>Максумова Кристина Алексеевна</cp:lastModifiedBy>
  <cp:lastPrinted>2021-06-21T09:22:00Z</cp:lastPrinted>
  <dcterms:modified xsi:type="dcterms:W3CDTF">2021-07-22T12:38:00Z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