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D12000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0350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237092">
        <w:rPr>
          <w:rFonts w:ascii="Times New Roman" w:hAnsi="Times New Roman" w:cs="Times New Roman"/>
          <w:b/>
        </w:rPr>
        <w:t>24</w:t>
      </w:r>
      <w:r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237092">
        <w:rPr>
          <w:rFonts w:ascii="Times New Roman" w:hAnsi="Times New Roman" w:cs="Times New Roman"/>
          <w:b/>
        </w:rPr>
        <w:t>4</w:t>
      </w:r>
      <w:r w:rsidRPr="00FF57D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FF57DD">
        <w:rPr>
          <w:rFonts w:ascii="Times New Roman" w:hAnsi="Times New Roman" w:cs="Times New Roman"/>
          <w:b/>
        </w:rPr>
        <w:t xml:space="preserve"> г</w:t>
      </w:r>
      <w:r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FF57DD">
        <w:rPr>
          <w:rFonts w:ascii="Times New Roman" w:hAnsi="Times New Roman" w:cs="Times New Roman"/>
        </w:rPr>
        <w:t xml:space="preserve"> 11.00 час</w:t>
      </w:r>
      <w:r w:rsidRPr="009D3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 </w:t>
      </w:r>
      <w:r w:rsidR="0023709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23709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.2024 до 11.00 час. </w:t>
      </w:r>
      <w:r w:rsidRPr="009D3EA6">
        <w:rPr>
          <w:rFonts w:ascii="Times New Roman" w:hAnsi="Times New Roman" w:cs="Times New Roman"/>
        </w:rPr>
        <w:t xml:space="preserve">(здесь и далее время московское) </w:t>
      </w:r>
      <w:r w:rsidR="00A56F79" w:rsidRPr="009D3EA6">
        <w:rPr>
          <w:rFonts w:ascii="Times New Roman" w:hAnsi="Times New Roman" w:cs="Times New Roman"/>
        </w:rPr>
        <w:t xml:space="preserve">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237092">
        <w:rPr>
          <w:rFonts w:ascii="Times New Roman" w:hAnsi="Times New Roman"/>
          <w:sz w:val="22"/>
          <w:szCs w:val="22"/>
        </w:rPr>
        <w:t>314820</w:t>
      </w:r>
      <w:r w:rsidR="001611B3" w:rsidRPr="004F6829">
        <w:rPr>
          <w:rFonts w:ascii="Times New Roman" w:hAnsi="Times New Roman"/>
          <w:sz w:val="22"/>
          <w:szCs w:val="22"/>
        </w:rPr>
        <w:t xml:space="preserve">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23A25" w:rsidRDefault="00D23A25" w:rsidP="00D23A25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 xml:space="preserve">снижение начальной цены продажи, </w:t>
      </w:r>
      <w:r>
        <w:rPr>
          <w:rFonts w:ascii="Calibri" w:eastAsia="Calibri" w:hAnsi="Calibri" w:cs="Times New Roman"/>
        </w:rPr>
        <w:t>установленной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</w:t>
      </w:r>
      <w:r w:rsidR="00237092">
        <w:rPr>
          <w:rFonts w:ascii="Times New Roman" w:hAnsi="Times New Roman"/>
        </w:rPr>
        <w:t>314820</w:t>
      </w:r>
      <w:r w:rsidR="00D12000" w:rsidRPr="004F6829">
        <w:rPr>
          <w:rFonts w:ascii="Times New Roman" w:hAnsi="Times New Roman"/>
        </w:rPr>
        <w:t xml:space="preserve"> </w:t>
      </w:r>
      <w:r>
        <w:rPr>
          <w:rStyle w:val="2"/>
          <w:rFonts w:ascii="Calibri" w:eastAsia="Calibri" w:hAnsi="Calibri" w:cs="Times New Roman"/>
        </w:rPr>
        <w:t>руб.</w:t>
      </w:r>
      <w:r w:rsidRPr="00D87A15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="00482185"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</w:rPr>
        <w:t xml:space="preserve">% каждые </w:t>
      </w:r>
      <w:r w:rsidR="00482185">
        <w:rPr>
          <w:rFonts w:ascii="Calibri" w:eastAsia="Calibri" w:hAnsi="Calibri" w:cs="Times New Roman"/>
        </w:rPr>
        <w:t>10 календарны</w:t>
      </w:r>
      <w:r>
        <w:rPr>
          <w:rFonts w:ascii="Calibri" w:eastAsia="Calibri" w:hAnsi="Calibri" w:cs="Times New Roman"/>
        </w:rPr>
        <w:t>х дней (</w:t>
      </w:r>
      <w:r w:rsidR="00D12000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период</w:t>
      </w:r>
      <w:r w:rsidR="00D12000">
        <w:rPr>
          <w:rFonts w:ascii="Calibri" w:eastAsia="Calibri" w:hAnsi="Calibri" w:cs="Times New Roman"/>
        </w:rPr>
        <w:t>а</w:t>
      </w:r>
      <w:r>
        <w:rPr>
          <w:rFonts w:ascii="Calibri" w:eastAsia="Calibri" w:hAnsi="Calibri" w:cs="Times New Roman"/>
        </w:rPr>
        <w:t xml:space="preserve"> снижения).</w:t>
      </w:r>
      <w:r w:rsidR="00D12000">
        <w:rPr>
          <w:rFonts w:ascii="Calibri" w:eastAsia="Calibri" w:hAnsi="Calibri" w:cs="Times New Roman"/>
        </w:rPr>
        <w:t xml:space="preserve"> Цена отсечения – </w:t>
      </w:r>
      <w:r w:rsidR="00482185">
        <w:rPr>
          <w:rFonts w:ascii="Calibri" w:eastAsia="Calibri" w:hAnsi="Calibri" w:cs="Times New Roman"/>
        </w:rPr>
        <w:t>6</w:t>
      </w:r>
      <w:r w:rsidR="00D12000">
        <w:rPr>
          <w:rFonts w:ascii="Calibri" w:eastAsia="Calibri" w:hAnsi="Calibri" w:cs="Times New Roman"/>
        </w:rPr>
        <w:t>0% от начальной цены в публичном предложении.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37092"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237092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12000" w:rsidRPr="00C56702" w:rsidRDefault="006D68F4" w:rsidP="00D12000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D12000">
        <w:rPr>
          <w:rFonts w:cs="Arial"/>
        </w:rPr>
        <w:t>не позднее</w:t>
      </w:r>
      <w:r w:rsidR="00D12000" w:rsidRPr="0079215D">
        <w:rPr>
          <w:rFonts w:cs="Arial"/>
        </w:rPr>
        <w:t xml:space="preserve"> даты окончания </w:t>
      </w:r>
      <w:r w:rsidR="00D12000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000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D12000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D12000" w:rsidRDefault="00D12000" w:rsidP="00D12000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D12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1F6F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0350D"/>
    <w:rsid w:val="00152215"/>
    <w:rsid w:val="001611B3"/>
    <w:rsid w:val="00183D81"/>
    <w:rsid w:val="001E71E6"/>
    <w:rsid w:val="001F6FD1"/>
    <w:rsid w:val="00237092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82185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02356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8EF"/>
    <w:rsid w:val="008B4C4B"/>
    <w:rsid w:val="008F6F81"/>
    <w:rsid w:val="0091507A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E289E"/>
    <w:rsid w:val="00AF7054"/>
    <w:rsid w:val="00B441BB"/>
    <w:rsid w:val="00B61F73"/>
    <w:rsid w:val="00B64DA3"/>
    <w:rsid w:val="00B82526"/>
    <w:rsid w:val="00BC4AC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12000"/>
    <w:rsid w:val="00D23A25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2024-04-24T07:43:00Z</dcterms:created>
  <dcterms:modified xsi:type="dcterms:W3CDTF">2024-04-24T07:43:00Z</dcterms:modified>
</cp:coreProperties>
</file>